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909D37" w14:textId="495B7409" w:rsidR="006259FF" w:rsidRPr="006259FF" w:rsidRDefault="006259FF" w:rsidP="00FA2831">
      <w:pPr>
        <w:keepNext/>
        <w:keepLines/>
        <w:shd w:val="clear" w:color="auto" w:fill="D9D9D9"/>
        <w:spacing w:after="80" w:line="360" w:lineRule="auto"/>
        <w:jc w:val="both"/>
        <w:outlineLvl w:val="0"/>
        <w:rPr>
          <w:rFonts w:ascii="Bookman Old Style" w:eastAsia="Cambria" w:hAnsi="Bookman Old Style" w:cs="Times New Roman"/>
          <w:b/>
          <w:bCs/>
          <w:kern w:val="2"/>
          <w:sz w:val="24"/>
          <w:szCs w:val="24"/>
          <w14:ligatures w14:val="standardContextual"/>
        </w:rPr>
      </w:pPr>
      <w:r w:rsidRPr="006259FF">
        <w:rPr>
          <w:rFonts w:ascii="Bookman Old Style" w:eastAsia="Cambria" w:hAnsi="Bookman Old Style" w:cs="Times New Roman"/>
          <w:b/>
          <w:bCs/>
          <w:kern w:val="2"/>
          <w:sz w:val="24"/>
          <w:szCs w:val="24"/>
          <w14:ligatures w14:val="standardContextual"/>
        </w:rPr>
        <w:t xml:space="preserve">ANEXO </w:t>
      </w:r>
      <w:r w:rsidR="00FA2831">
        <w:rPr>
          <w:rFonts w:ascii="Bookman Old Style" w:eastAsia="Cambria" w:hAnsi="Bookman Old Style" w:cs="Times New Roman"/>
          <w:b/>
          <w:bCs/>
          <w:kern w:val="2"/>
          <w:sz w:val="24"/>
          <w:szCs w:val="24"/>
          <w14:ligatures w14:val="standardContextual"/>
        </w:rPr>
        <w:t>I</w:t>
      </w:r>
      <w:r w:rsidRPr="006259FF">
        <w:rPr>
          <w:rFonts w:ascii="Bookman Old Style" w:eastAsia="Cambria" w:hAnsi="Bookman Old Style" w:cs="Times New Roman"/>
          <w:b/>
          <w:bCs/>
          <w:kern w:val="2"/>
          <w:sz w:val="24"/>
          <w:szCs w:val="24"/>
          <w14:ligatures w14:val="standardContextual"/>
        </w:rPr>
        <w:t>I – MODELO DE PROPOSTA DE PREÇOS</w:t>
      </w:r>
    </w:p>
    <w:p w14:paraId="43EC1A87" w14:textId="045340F9" w:rsidR="006259FF" w:rsidRPr="006259FF" w:rsidRDefault="006259FF" w:rsidP="006259FF">
      <w:pPr>
        <w:spacing w:before="240" w:after="0" w:line="360" w:lineRule="auto"/>
        <w:jc w:val="both"/>
        <w:rPr>
          <w:rFonts w:ascii="Bookman Old Style" w:eastAsia="MS Mincho" w:hAnsi="Bookman Old Style" w:cs="Arial"/>
          <w:b/>
          <w:sz w:val="24"/>
          <w:szCs w:val="24"/>
        </w:rPr>
      </w:pPr>
      <w:r w:rsidRPr="006259FF">
        <w:rPr>
          <w:rFonts w:ascii="Bookman Old Style" w:eastAsia="MS Mincho" w:hAnsi="Bookman Old Style" w:cs="Arial"/>
          <w:b/>
          <w:sz w:val="24"/>
          <w:szCs w:val="24"/>
        </w:rPr>
        <w:t xml:space="preserve">PROCESSO ADMINISTRATIVO Nº </w:t>
      </w:r>
      <w:r w:rsidR="0026231F">
        <w:rPr>
          <w:rFonts w:ascii="Bookman Old Style" w:eastAsia="MS Mincho" w:hAnsi="Bookman Old Style" w:cs="Arial"/>
          <w:b/>
          <w:sz w:val="24"/>
          <w:szCs w:val="24"/>
        </w:rPr>
        <w:t>36</w:t>
      </w:r>
      <w:r w:rsidRPr="006259FF">
        <w:rPr>
          <w:rFonts w:ascii="Bookman Old Style" w:eastAsia="MS Mincho" w:hAnsi="Bookman Old Style" w:cs="Arial"/>
          <w:b/>
          <w:sz w:val="24"/>
          <w:szCs w:val="24"/>
        </w:rPr>
        <w:t>/2026</w:t>
      </w:r>
    </w:p>
    <w:p w14:paraId="53C274D3" w14:textId="46A8A6E0" w:rsidR="006259FF" w:rsidRPr="006259FF" w:rsidRDefault="006259FF" w:rsidP="006259FF">
      <w:pPr>
        <w:spacing w:line="360" w:lineRule="auto"/>
        <w:jc w:val="both"/>
        <w:rPr>
          <w:rFonts w:ascii="Bookman Old Style" w:eastAsia="MS Mincho" w:hAnsi="Bookman Old Style" w:cs="Arial"/>
          <w:bCs/>
          <w:sz w:val="24"/>
          <w:szCs w:val="24"/>
        </w:rPr>
      </w:pPr>
      <w:r w:rsidRPr="006259FF">
        <w:rPr>
          <w:rFonts w:ascii="Bookman Old Style" w:eastAsia="MS Mincho" w:hAnsi="Bookman Old Style" w:cs="Arial"/>
          <w:b/>
          <w:sz w:val="24"/>
          <w:szCs w:val="24"/>
        </w:rPr>
        <w:t xml:space="preserve">DISPENSA DE LICITAÇÃO Nº </w:t>
      </w:r>
      <w:r w:rsidR="0026231F">
        <w:rPr>
          <w:rFonts w:ascii="Bookman Old Style" w:eastAsia="MS Mincho" w:hAnsi="Bookman Old Style" w:cs="Arial"/>
          <w:b/>
          <w:sz w:val="24"/>
          <w:szCs w:val="24"/>
        </w:rPr>
        <w:t>17</w:t>
      </w:r>
      <w:r w:rsidRPr="006259FF">
        <w:rPr>
          <w:rFonts w:ascii="Bookman Old Style" w:eastAsia="MS Mincho" w:hAnsi="Bookman Old Style" w:cs="Arial"/>
          <w:b/>
          <w:sz w:val="24"/>
          <w:szCs w:val="24"/>
        </w:rPr>
        <w:t>/2026</w:t>
      </w:r>
    </w:p>
    <w:p w14:paraId="66089CF0" w14:textId="77777777" w:rsidR="006259FF" w:rsidRPr="006259FF" w:rsidRDefault="006259FF" w:rsidP="006259FF">
      <w:pPr>
        <w:spacing w:before="240" w:line="360" w:lineRule="auto"/>
        <w:jc w:val="both"/>
        <w:rPr>
          <w:rFonts w:ascii="Bookman Old Style" w:eastAsia="MS Mincho" w:hAnsi="Bookman Old Style" w:cs="Arial"/>
          <w:bCs/>
          <w:sz w:val="24"/>
          <w:szCs w:val="24"/>
        </w:rPr>
      </w:pPr>
      <w:r w:rsidRPr="006259FF">
        <w:rPr>
          <w:rFonts w:ascii="Bookman Old Style" w:eastAsia="MS Mincho" w:hAnsi="Bookman Old Style" w:cs="Arial"/>
          <w:b/>
          <w:sz w:val="24"/>
          <w:szCs w:val="24"/>
        </w:rPr>
        <w:t>OBJETO:</w:t>
      </w:r>
      <w:r w:rsidRPr="006259FF">
        <w:rPr>
          <w:rFonts w:ascii="Bookman Old Style" w:eastAsia="MS Mincho" w:hAnsi="Bookman Old Style" w:cs="Arial"/>
          <w:bCs/>
          <w:sz w:val="24"/>
          <w:szCs w:val="24"/>
        </w:rPr>
        <w:t xml:space="preserve"> </w:t>
      </w:r>
      <w:r w:rsidRPr="006259FF">
        <w:rPr>
          <w:rFonts w:ascii="Bookman Old Style" w:eastAsia="MS Mincho" w:hAnsi="Bookman Old Style" w:cs="Arial"/>
          <w:bCs/>
          <w:i/>
          <w:iCs/>
          <w:sz w:val="24"/>
          <w:szCs w:val="24"/>
        </w:rPr>
        <w:t>CONTRATAÇÃO DE EMPRESA PARA PRESTAÇÃO DE SERVIÇOS COMUNS DE APOIO TÉCNICO-CONTÁBIL, ASSISTÊNCIA E ORIENTAÇÃO OPERACIONAL AO DEPARTAMENTO DE CONTABILIDADE, COMPREENDENDO O APOIO À ELABORAÇÃO, CONFERÊNCIA E VALIDAÇÃO DAS DEMONSTRAÇÕES CONTÁBEIS DO MUNICÍPIO, BEM COMO A GERAÇÃO, CONFERÊNCIA, CORREÇÃO E REMESSA DE DADOS INFORMATIZADOS AO TRIBUNAL DE CONTAS DO ESTADO DE SÃO PAULO – TCE/SP, RELATIVOS AO PROJETO AUDESP, FASES 1 E 2, COM EXECUÇÃO CONTINUADA E SEM DEDICAÇÃO EXCLUSIVA DE MÃO DE OBRA</w:t>
      </w:r>
      <w:r w:rsidRPr="006259FF">
        <w:rPr>
          <w:rFonts w:ascii="Bookman Old Style" w:eastAsia="MS Mincho" w:hAnsi="Bookman Old Style" w:cs="Arial"/>
          <w:bCs/>
          <w:sz w:val="24"/>
          <w:szCs w:val="24"/>
        </w:rPr>
        <w:t>.</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4409"/>
        <w:gridCol w:w="4409"/>
      </w:tblGrid>
      <w:tr w:rsidR="006259FF" w:rsidRPr="006259FF" w14:paraId="1BC8ED26" w14:textId="77777777" w:rsidTr="008F00FA">
        <w:trPr>
          <w:cantSplit/>
          <w:trHeight w:val="567"/>
          <w:jc w:val="center"/>
        </w:trPr>
        <w:tc>
          <w:tcPr>
            <w:tcW w:w="5000" w:type="pct"/>
            <w:gridSpan w:val="2"/>
            <w:shd w:val="clear" w:color="auto" w:fill="D9D9D9" w:themeFill="background1" w:themeFillShade="D9"/>
            <w:vAlign w:val="center"/>
          </w:tcPr>
          <w:p w14:paraId="73799EAB"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DADOS DE IDENTIFICAÇÃO DA PESSOA JURÍDICA</w:t>
            </w:r>
          </w:p>
        </w:tc>
      </w:tr>
      <w:tr w:rsidR="006259FF" w:rsidRPr="006259FF" w14:paraId="2ADAAFA7" w14:textId="77777777" w:rsidTr="008F00FA">
        <w:trPr>
          <w:cantSplit/>
          <w:trHeight w:val="567"/>
          <w:jc w:val="center"/>
        </w:trPr>
        <w:tc>
          <w:tcPr>
            <w:tcW w:w="5000" w:type="pct"/>
            <w:gridSpan w:val="2"/>
            <w:vAlign w:val="center"/>
            <w:hideMark/>
          </w:tcPr>
          <w:p w14:paraId="063E9B5B"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RAZÃO SOCIAL:</w:t>
            </w:r>
            <w:r w:rsidRPr="006259FF">
              <w:rPr>
                <w:rFonts w:ascii="Bookman Old Style" w:eastAsia="MS Mincho" w:hAnsi="Bookman Old Style" w:cs="Arial"/>
                <w:bCs/>
                <w:sz w:val="16"/>
                <w:szCs w:val="16"/>
              </w:rPr>
              <w:t xml:space="preserve"> </w:t>
            </w:r>
          </w:p>
        </w:tc>
      </w:tr>
      <w:tr w:rsidR="006259FF" w:rsidRPr="006259FF" w14:paraId="3D0F81AE" w14:textId="77777777" w:rsidTr="008F00FA">
        <w:trPr>
          <w:cantSplit/>
          <w:trHeight w:val="567"/>
          <w:jc w:val="center"/>
        </w:trPr>
        <w:tc>
          <w:tcPr>
            <w:tcW w:w="5000" w:type="pct"/>
            <w:gridSpan w:val="2"/>
            <w:vAlign w:val="center"/>
            <w:hideMark/>
          </w:tcPr>
          <w:p w14:paraId="229158FC"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CNPJ:</w:t>
            </w:r>
            <w:r w:rsidRPr="006259FF">
              <w:rPr>
                <w:rFonts w:ascii="Bookman Old Style" w:eastAsia="MS Mincho" w:hAnsi="Bookman Old Style" w:cs="Arial"/>
                <w:bCs/>
                <w:sz w:val="16"/>
                <w:szCs w:val="16"/>
              </w:rPr>
              <w:t xml:space="preserve"> </w:t>
            </w:r>
          </w:p>
        </w:tc>
      </w:tr>
      <w:tr w:rsidR="006259FF" w:rsidRPr="006259FF" w14:paraId="61E1255C" w14:textId="77777777" w:rsidTr="008F00FA">
        <w:trPr>
          <w:cantSplit/>
          <w:trHeight w:val="567"/>
          <w:jc w:val="center"/>
        </w:trPr>
        <w:tc>
          <w:tcPr>
            <w:tcW w:w="5000" w:type="pct"/>
            <w:gridSpan w:val="2"/>
            <w:vAlign w:val="center"/>
            <w:hideMark/>
          </w:tcPr>
          <w:p w14:paraId="16EECAA7"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INSCRIÇÃO ESTADUAL:</w:t>
            </w:r>
            <w:r w:rsidRPr="006259FF">
              <w:rPr>
                <w:rFonts w:ascii="Bookman Old Style" w:eastAsia="MS Mincho" w:hAnsi="Bookman Old Style" w:cs="Arial"/>
                <w:bCs/>
                <w:sz w:val="16"/>
                <w:szCs w:val="16"/>
              </w:rPr>
              <w:t xml:space="preserve"> </w:t>
            </w:r>
          </w:p>
        </w:tc>
      </w:tr>
      <w:tr w:rsidR="006259FF" w:rsidRPr="006259FF" w14:paraId="15CAD77B" w14:textId="77777777" w:rsidTr="008F00FA">
        <w:trPr>
          <w:cantSplit/>
          <w:trHeight w:val="567"/>
          <w:jc w:val="center"/>
        </w:trPr>
        <w:tc>
          <w:tcPr>
            <w:tcW w:w="5000" w:type="pct"/>
            <w:gridSpan w:val="2"/>
            <w:vAlign w:val="center"/>
          </w:tcPr>
          <w:p w14:paraId="15631936"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INSCRIÇÃO MUNICIPAL:</w:t>
            </w:r>
            <w:r w:rsidRPr="006259FF">
              <w:rPr>
                <w:rFonts w:ascii="Bookman Old Style" w:eastAsia="MS Mincho" w:hAnsi="Bookman Old Style" w:cs="Arial"/>
                <w:bCs/>
                <w:sz w:val="16"/>
                <w:szCs w:val="16"/>
              </w:rPr>
              <w:t xml:space="preserve"> </w:t>
            </w:r>
          </w:p>
        </w:tc>
      </w:tr>
      <w:tr w:rsidR="006259FF" w:rsidRPr="006259FF" w14:paraId="59D6A64A" w14:textId="77777777" w:rsidTr="008F00FA">
        <w:trPr>
          <w:cantSplit/>
          <w:trHeight w:val="567"/>
          <w:jc w:val="center"/>
        </w:trPr>
        <w:tc>
          <w:tcPr>
            <w:tcW w:w="5000" w:type="pct"/>
            <w:gridSpan w:val="2"/>
            <w:vAlign w:val="center"/>
            <w:hideMark/>
          </w:tcPr>
          <w:p w14:paraId="21B93944" w14:textId="6DC459F3"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ENDEREÇO</w:t>
            </w:r>
            <w:r w:rsidR="002D6683">
              <w:rPr>
                <w:rFonts w:ascii="Bookman Old Style" w:eastAsia="MS Mincho" w:hAnsi="Bookman Old Style" w:cs="Arial"/>
                <w:b/>
                <w:sz w:val="16"/>
                <w:szCs w:val="16"/>
              </w:rPr>
              <w:t xml:space="preserve"> COMERCIAL</w:t>
            </w:r>
            <w:r w:rsidRPr="006259FF">
              <w:rPr>
                <w:rFonts w:ascii="Bookman Old Style" w:eastAsia="MS Mincho" w:hAnsi="Bookman Old Style" w:cs="Arial"/>
                <w:b/>
                <w:sz w:val="16"/>
                <w:szCs w:val="16"/>
              </w:rPr>
              <w:t>:</w:t>
            </w:r>
            <w:r w:rsidRPr="006259FF">
              <w:rPr>
                <w:rFonts w:ascii="Bookman Old Style" w:eastAsia="MS Mincho" w:hAnsi="Bookman Old Style" w:cs="Arial"/>
                <w:bCs/>
                <w:sz w:val="16"/>
                <w:szCs w:val="16"/>
              </w:rPr>
              <w:t xml:space="preserve"> </w:t>
            </w:r>
          </w:p>
        </w:tc>
      </w:tr>
      <w:tr w:rsidR="006259FF" w:rsidRPr="006259FF" w14:paraId="79BF00F9" w14:textId="77777777" w:rsidTr="008F00FA">
        <w:trPr>
          <w:cantSplit/>
          <w:trHeight w:val="567"/>
          <w:jc w:val="center"/>
        </w:trPr>
        <w:tc>
          <w:tcPr>
            <w:tcW w:w="5000" w:type="pct"/>
            <w:gridSpan w:val="2"/>
            <w:vAlign w:val="center"/>
            <w:hideMark/>
          </w:tcPr>
          <w:p w14:paraId="368725B9"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TELEFONE COMERCIAL:</w:t>
            </w:r>
            <w:r w:rsidRPr="006259FF">
              <w:rPr>
                <w:rFonts w:ascii="Bookman Old Style" w:eastAsia="MS Mincho" w:hAnsi="Bookman Old Style" w:cs="Arial"/>
                <w:bCs/>
                <w:sz w:val="16"/>
                <w:szCs w:val="16"/>
              </w:rPr>
              <w:t xml:space="preserve"> </w:t>
            </w:r>
          </w:p>
        </w:tc>
      </w:tr>
      <w:tr w:rsidR="006259FF" w:rsidRPr="006259FF" w14:paraId="0A78A0DB" w14:textId="77777777" w:rsidTr="008F00FA">
        <w:trPr>
          <w:cantSplit/>
          <w:trHeight w:val="567"/>
          <w:jc w:val="center"/>
        </w:trPr>
        <w:tc>
          <w:tcPr>
            <w:tcW w:w="5000" w:type="pct"/>
            <w:gridSpan w:val="2"/>
            <w:vAlign w:val="center"/>
          </w:tcPr>
          <w:p w14:paraId="2F953756" w14:textId="3B3F0540"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 xml:space="preserve">E-MAIL </w:t>
            </w:r>
            <w:r w:rsidR="002D6683">
              <w:rPr>
                <w:rFonts w:ascii="Bookman Old Style" w:eastAsia="MS Mincho" w:hAnsi="Bookman Old Style" w:cs="Arial"/>
                <w:b/>
                <w:sz w:val="16"/>
                <w:szCs w:val="16"/>
              </w:rPr>
              <w:t>COMERCIAL</w:t>
            </w:r>
            <w:r w:rsidRPr="006259FF">
              <w:rPr>
                <w:rFonts w:ascii="Bookman Old Style" w:eastAsia="MS Mincho" w:hAnsi="Bookman Old Style" w:cs="Arial"/>
                <w:b/>
                <w:sz w:val="16"/>
                <w:szCs w:val="16"/>
              </w:rPr>
              <w:t>:</w:t>
            </w:r>
            <w:r w:rsidRPr="006259FF">
              <w:rPr>
                <w:rFonts w:ascii="Bookman Old Style" w:eastAsia="MS Mincho" w:hAnsi="Bookman Old Style" w:cs="Arial"/>
                <w:bCs/>
                <w:sz w:val="16"/>
                <w:szCs w:val="16"/>
              </w:rPr>
              <w:t xml:space="preserve"> </w:t>
            </w:r>
          </w:p>
        </w:tc>
      </w:tr>
      <w:tr w:rsidR="006259FF" w:rsidRPr="006259FF" w14:paraId="65EB5C41" w14:textId="77777777" w:rsidTr="008F00FA">
        <w:trPr>
          <w:cantSplit/>
          <w:trHeight w:val="567"/>
          <w:jc w:val="center"/>
        </w:trPr>
        <w:tc>
          <w:tcPr>
            <w:tcW w:w="5000" w:type="pct"/>
            <w:gridSpan w:val="2"/>
            <w:shd w:val="clear" w:color="auto" w:fill="D9D9D9" w:themeFill="background1" w:themeFillShade="D9"/>
            <w:vAlign w:val="center"/>
          </w:tcPr>
          <w:p w14:paraId="50BFB764"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lastRenderedPageBreak/>
              <w:t>DADOS BANCÁRIOS</w:t>
            </w:r>
          </w:p>
        </w:tc>
      </w:tr>
      <w:tr w:rsidR="006259FF" w:rsidRPr="006259FF" w14:paraId="7DBEC772" w14:textId="77777777" w:rsidTr="008F00FA">
        <w:trPr>
          <w:cantSplit/>
          <w:trHeight w:val="567"/>
          <w:jc w:val="center"/>
        </w:trPr>
        <w:tc>
          <w:tcPr>
            <w:tcW w:w="2500" w:type="pct"/>
            <w:vAlign w:val="center"/>
            <w:hideMark/>
          </w:tcPr>
          <w:p w14:paraId="113F1D28"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BANCO:</w:t>
            </w:r>
            <w:r w:rsidRPr="006259FF">
              <w:rPr>
                <w:rFonts w:ascii="Bookman Old Style" w:eastAsia="MS Mincho" w:hAnsi="Bookman Old Style" w:cs="Arial"/>
                <w:bCs/>
                <w:sz w:val="16"/>
                <w:szCs w:val="16"/>
              </w:rPr>
              <w:t xml:space="preserve"> </w:t>
            </w:r>
          </w:p>
        </w:tc>
        <w:tc>
          <w:tcPr>
            <w:tcW w:w="2500" w:type="pct"/>
            <w:vAlign w:val="center"/>
          </w:tcPr>
          <w:p w14:paraId="3D4E3E74"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AGÊNCIA:</w:t>
            </w:r>
            <w:r w:rsidRPr="006259FF">
              <w:rPr>
                <w:rFonts w:ascii="Bookman Old Style" w:eastAsia="MS Mincho" w:hAnsi="Bookman Old Style" w:cs="Arial"/>
                <w:bCs/>
                <w:sz w:val="16"/>
                <w:szCs w:val="16"/>
              </w:rPr>
              <w:t xml:space="preserve"> </w:t>
            </w:r>
          </w:p>
        </w:tc>
      </w:tr>
      <w:tr w:rsidR="006259FF" w:rsidRPr="006259FF" w14:paraId="792A5C0A" w14:textId="77777777" w:rsidTr="008F00FA">
        <w:trPr>
          <w:cantSplit/>
          <w:trHeight w:val="567"/>
          <w:jc w:val="center"/>
        </w:trPr>
        <w:tc>
          <w:tcPr>
            <w:tcW w:w="5000" w:type="pct"/>
            <w:gridSpan w:val="2"/>
            <w:vAlign w:val="center"/>
            <w:hideMark/>
          </w:tcPr>
          <w:p w14:paraId="1AF6626B"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CONTA:</w:t>
            </w:r>
            <w:r w:rsidRPr="006259FF">
              <w:rPr>
                <w:rFonts w:ascii="Bookman Old Style" w:eastAsia="MS Mincho" w:hAnsi="Bookman Old Style" w:cs="Arial"/>
                <w:bCs/>
                <w:sz w:val="16"/>
                <w:szCs w:val="16"/>
              </w:rPr>
              <w:t xml:space="preserve"> </w:t>
            </w:r>
          </w:p>
        </w:tc>
      </w:tr>
      <w:tr w:rsidR="006259FF" w:rsidRPr="006259FF" w14:paraId="20207D98" w14:textId="77777777" w:rsidTr="008F00FA">
        <w:trPr>
          <w:cantSplit/>
          <w:trHeight w:val="567"/>
          <w:jc w:val="center"/>
        </w:trPr>
        <w:tc>
          <w:tcPr>
            <w:tcW w:w="5000" w:type="pct"/>
            <w:gridSpan w:val="2"/>
            <w:shd w:val="clear" w:color="auto" w:fill="D9D9D9" w:themeFill="background1" w:themeFillShade="D9"/>
            <w:vAlign w:val="center"/>
          </w:tcPr>
          <w:p w14:paraId="6919DC2C"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DADOS DE IDENTIFICAÇÃO DA PESSOA FÍSICA RESPONSÁVEL PELA ASSINATURA DO CONTRATO</w:t>
            </w:r>
          </w:p>
        </w:tc>
      </w:tr>
      <w:tr w:rsidR="006259FF" w:rsidRPr="006259FF" w14:paraId="388F602F" w14:textId="77777777" w:rsidTr="008F00FA">
        <w:trPr>
          <w:cantSplit/>
          <w:trHeight w:val="567"/>
          <w:jc w:val="center"/>
        </w:trPr>
        <w:tc>
          <w:tcPr>
            <w:tcW w:w="5000" w:type="pct"/>
            <w:gridSpan w:val="2"/>
            <w:vAlign w:val="center"/>
          </w:tcPr>
          <w:p w14:paraId="197F027E"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NOME COMPLETO:</w:t>
            </w:r>
            <w:r w:rsidRPr="006259FF">
              <w:rPr>
                <w:rFonts w:ascii="Bookman Old Style" w:eastAsia="MS Mincho" w:hAnsi="Bookman Old Style" w:cs="Arial"/>
                <w:bCs/>
                <w:sz w:val="16"/>
                <w:szCs w:val="16"/>
              </w:rPr>
              <w:t xml:space="preserve"> </w:t>
            </w:r>
          </w:p>
        </w:tc>
      </w:tr>
      <w:tr w:rsidR="006259FF" w:rsidRPr="006259FF" w14:paraId="46C5816A" w14:textId="77777777" w:rsidTr="008F00FA">
        <w:trPr>
          <w:cantSplit/>
          <w:trHeight w:val="567"/>
          <w:jc w:val="center"/>
        </w:trPr>
        <w:tc>
          <w:tcPr>
            <w:tcW w:w="5000" w:type="pct"/>
            <w:gridSpan w:val="2"/>
            <w:vAlign w:val="center"/>
          </w:tcPr>
          <w:p w14:paraId="6F69BEB1"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CPF:</w:t>
            </w:r>
            <w:r w:rsidRPr="006259FF">
              <w:rPr>
                <w:rFonts w:ascii="Bookman Old Style" w:eastAsia="MS Mincho" w:hAnsi="Bookman Old Style" w:cs="Arial"/>
                <w:bCs/>
                <w:sz w:val="16"/>
                <w:szCs w:val="16"/>
              </w:rPr>
              <w:t xml:space="preserve"> </w:t>
            </w:r>
          </w:p>
        </w:tc>
      </w:tr>
      <w:tr w:rsidR="006259FF" w:rsidRPr="006259FF" w14:paraId="5837C336" w14:textId="77777777" w:rsidTr="008F00FA">
        <w:trPr>
          <w:cantSplit/>
          <w:trHeight w:val="567"/>
          <w:jc w:val="center"/>
        </w:trPr>
        <w:tc>
          <w:tcPr>
            <w:tcW w:w="5000" w:type="pct"/>
            <w:gridSpan w:val="2"/>
            <w:vAlign w:val="center"/>
          </w:tcPr>
          <w:p w14:paraId="220295C1"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RG:</w:t>
            </w:r>
            <w:r w:rsidRPr="006259FF">
              <w:rPr>
                <w:rFonts w:ascii="Bookman Old Style" w:eastAsia="MS Mincho" w:hAnsi="Bookman Old Style" w:cs="Arial"/>
                <w:bCs/>
                <w:sz w:val="16"/>
                <w:szCs w:val="16"/>
              </w:rPr>
              <w:t xml:space="preserve"> </w:t>
            </w:r>
          </w:p>
        </w:tc>
      </w:tr>
      <w:tr w:rsidR="006259FF" w:rsidRPr="006259FF" w14:paraId="7A13B89A" w14:textId="77777777" w:rsidTr="008F00FA">
        <w:trPr>
          <w:cantSplit/>
          <w:trHeight w:val="567"/>
          <w:jc w:val="center"/>
        </w:trPr>
        <w:tc>
          <w:tcPr>
            <w:tcW w:w="5000" w:type="pct"/>
            <w:gridSpan w:val="2"/>
            <w:vAlign w:val="center"/>
          </w:tcPr>
          <w:p w14:paraId="6E48CE00"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ENDEREÇO RESIDENCIAL:</w:t>
            </w:r>
            <w:r w:rsidRPr="006259FF">
              <w:rPr>
                <w:rFonts w:ascii="Bookman Old Style" w:eastAsia="MS Mincho" w:hAnsi="Bookman Old Style" w:cs="Arial"/>
                <w:bCs/>
                <w:sz w:val="16"/>
                <w:szCs w:val="16"/>
              </w:rPr>
              <w:t xml:space="preserve"> </w:t>
            </w:r>
          </w:p>
        </w:tc>
      </w:tr>
      <w:tr w:rsidR="006259FF" w:rsidRPr="006259FF" w14:paraId="02B2BCF8" w14:textId="77777777" w:rsidTr="008F00FA">
        <w:trPr>
          <w:cantSplit/>
          <w:trHeight w:val="567"/>
          <w:jc w:val="center"/>
        </w:trPr>
        <w:tc>
          <w:tcPr>
            <w:tcW w:w="5000" w:type="pct"/>
            <w:gridSpan w:val="2"/>
            <w:vAlign w:val="center"/>
          </w:tcPr>
          <w:p w14:paraId="619DEDA5" w14:textId="77777777" w:rsidR="006259FF" w:rsidRPr="006259FF" w:rsidRDefault="006259FF" w:rsidP="006259FF">
            <w:pPr>
              <w:spacing w:after="0"/>
              <w:rPr>
                <w:rFonts w:ascii="Bookman Old Style" w:eastAsia="MS Mincho" w:hAnsi="Bookman Old Style" w:cs="Arial"/>
                <w:b/>
                <w:sz w:val="16"/>
                <w:szCs w:val="16"/>
              </w:rPr>
            </w:pPr>
            <w:r w:rsidRPr="006259FF">
              <w:rPr>
                <w:rFonts w:ascii="Bookman Old Style" w:eastAsia="MS Mincho" w:hAnsi="Bookman Old Style" w:cs="Arial"/>
                <w:b/>
                <w:sz w:val="16"/>
                <w:szCs w:val="16"/>
              </w:rPr>
              <w:t>E-MAIL:</w:t>
            </w:r>
            <w:r w:rsidRPr="006259FF">
              <w:rPr>
                <w:rFonts w:ascii="Bookman Old Style" w:eastAsia="MS Mincho" w:hAnsi="Bookman Old Style" w:cs="Arial"/>
                <w:bCs/>
                <w:sz w:val="16"/>
                <w:szCs w:val="16"/>
              </w:rPr>
              <w:t xml:space="preserve"> </w:t>
            </w:r>
          </w:p>
        </w:tc>
      </w:tr>
    </w:tbl>
    <w:p w14:paraId="1E082A65" w14:textId="77777777" w:rsidR="006259FF" w:rsidRPr="006259FF" w:rsidRDefault="006259FF" w:rsidP="006259FF">
      <w:pPr>
        <w:autoSpaceDE w:val="0"/>
        <w:spacing w:after="0" w:line="360" w:lineRule="auto"/>
        <w:ind w:right="-142"/>
        <w:jc w:val="both"/>
        <w:rPr>
          <w:rFonts w:ascii="Bookman Old Style" w:eastAsia="Times New Roman" w:hAnsi="Bookman Old Style" w:cs="Arial"/>
          <w:sz w:val="24"/>
          <w:szCs w:val="24"/>
          <w:lang w:eastAsia="pt-BR"/>
        </w:rPr>
      </w:pPr>
    </w:p>
    <w:tbl>
      <w:tblPr>
        <w:tblStyle w:val="Tabelacomgrade3"/>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24"/>
        <w:gridCol w:w="601"/>
        <w:gridCol w:w="605"/>
        <w:gridCol w:w="3958"/>
        <w:gridCol w:w="1466"/>
        <w:gridCol w:w="1464"/>
      </w:tblGrid>
      <w:tr w:rsidR="006259FF" w:rsidRPr="00621A1A" w14:paraId="0CBE4ED1" w14:textId="77777777" w:rsidTr="008F00FA">
        <w:trPr>
          <w:trHeight w:val="567"/>
          <w:jc w:val="center"/>
        </w:trPr>
        <w:tc>
          <w:tcPr>
            <w:tcW w:w="410" w:type="pct"/>
            <w:shd w:val="clear" w:color="auto" w:fill="D9D9D9"/>
            <w:vAlign w:val="center"/>
          </w:tcPr>
          <w:p w14:paraId="3A4F364B" w14:textId="77777777" w:rsidR="006259FF" w:rsidRPr="00621A1A" w:rsidRDefault="006259FF" w:rsidP="006259FF">
            <w:pPr>
              <w:autoSpaceDE w:val="0"/>
              <w:jc w:val="center"/>
              <w:rPr>
                <w:rFonts w:ascii="Bookman Old Style" w:eastAsia="Times New Roman" w:hAnsi="Bookman Old Style" w:cs="Arial"/>
                <w:sz w:val="16"/>
                <w:szCs w:val="16"/>
                <w:lang w:eastAsia="pt-BR"/>
              </w:rPr>
            </w:pPr>
            <w:r w:rsidRPr="00621A1A">
              <w:rPr>
                <w:rFonts w:ascii="Bookman Old Style" w:eastAsia="Times New Roman" w:hAnsi="Bookman Old Style"/>
                <w:b/>
                <w:bCs/>
                <w:sz w:val="16"/>
                <w:szCs w:val="16"/>
                <w:lang w:val="pt-PT"/>
              </w:rPr>
              <w:t>ITEM</w:t>
            </w:r>
          </w:p>
        </w:tc>
        <w:tc>
          <w:tcPr>
            <w:tcW w:w="341" w:type="pct"/>
            <w:shd w:val="clear" w:color="auto" w:fill="D9D9D9"/>
            <w:vAlign w:val="center"/>
          </w:tcPr>
          <w:p w14:paraId="0BE29E4F" w14:textId="77777777" w:rsidR="006259FF" w:rsidRPr="00621A1A" w:rsidRDefault="006259FF" w:rsidP="006259FF">
            <w:pPr>
              <w:autoSpaceDE w:val="0"/>
              <w:jc w:val="center"/>
              <w:rPr>
                <w:rFonts w:ascii="Bookman Old Style" w:eastAsia="Times New Roman" w:hAnsi="Bookman Old Style" w:cs="Arial"/>
                <w:sz w:val="16"/>
                <w:szCs w:val="16"/>
                <w:lang w:eastAsia="pt-BR"/>
              </w:rPr>
            </w:pPr>
            <w:r w:rsidRPr="00621A1A">
              <w:rPr>
                <w:rFonts w:ascii="Bookman Old Style" w:eastAsia="Times New Roman" w:hAnsi="Bookman Old Style"/>
                <w:b/>
                <w:bCs/>
                <w:sz w:val="16"/>
                <w:szCs w:val="16"/>
                <w:lang w:val="pt-PT"/>
              </w:rPr>
              <w:t>QTD</w:t>
            </w:r>
          </w:p>
        </w:tc>
        <w:tc>
          <w:tcPr>
            <w:tcW w:w="343" w:type="pct"/>
            <w:shd w:val="clear" w:color="auto" w:fill="D9D9D9"/>
            <w:vAlign w:val="center"/>
          </w:tcPr>
          <w:p w14:paraId="0FE005FB" w14:textId="77777777" w:rsidR="006259FF" w:rsidRPr="00621A1A" w:rsidRDefault="006259FF" w:rsidP="006259FF">
            <w:pPr>
              <w:autoSpaceDE w:val="0"/>
              <w:jc w:val="center"/>
              <w:rPr>
                <w:rFonts w:ascii="Bookman Old Style" w:eastAsia="Times New Roman" w:hAnsi="Bookman Old Style" w:cs="Arial"/>
                <w:sz w:val="16"/>
                <w:szCs w:val="16"/>
                <w:lang w:eastAsia="pt-BR"/>
              </w:rPr>
            </w:pPr>
            <w:r w:rsidRPr="00621A1A">
              <w:rPr>
                <w:rFonts w:ascii="Bookman Old Style" w:eastAsia="Times New Roman" w:hAnsi="Bookman Old Style"/>
                <w:b/>
                <w:bCs/>
                <w:sz w:val="16"/>
                <w:szCs w:val="16"/>
                <w:lang w:val="pt-PT"/>
              </w:rPr>
              <w:t>UND</w:t>
            </w:r>
          </w:p>
        </w:tc>
        <w:tc>
          <w:tcPr>
            <w:tcW w:w="2244" w:type="pct"/>
            <w:shd w:val="clear" w:color="auto" w:fill="D9D9D9"/>
            <w:vAlign w:val="center"/>
          </w:tcPr>
          <w:p w14:paraId="20523A63" w14:textId="77777777" w:rsidR="006259FF" w:rsidRPr="00621A1A" w:rsidRDefault="006259FF" w:rsidP="006259FF">
            <w:pPr>
              <w:autoSpaceDE w:val="0"/>
              <w:jc w:val="center"/>
              <w:rPr>
                <w:rFonts w:ascii="Bookman Old Style" w:eastAsia="Times New Roman" w:hAnsi="Bookman Old Style" w:cs="Arial"/>
                <w:sz w:val="16"/>
                <w:szCs w:val="16"/>
                <w:lang w:eastAsia="pt-BR"/>
              </w:rPr>
            </w:pPr>
            <w:r w:rsidRPr="00621A1A">
              <w:rPr>
                <w:rFonts w:ascii="Bookman Old Style" w:eastAsia="Times New Roman" w:hAnsi="Bookman Old Style"/>
                <w:b/>
                <w:bCs/>
                <w:sz w:val="16"/>
                <w:szCs w:val="16"/>
                <w:lang w:val="pt-PT"/>
              </w:rPr>
              <w:t>DESCRIÇÃO</w:t>
            </w:r>
          </w:p>
        </w:tc>
        <w:tc>
          <w:tcPr>
            <w:tcW w:w="831" w:type="pct"/>
            <w:shd w:val="clear" w:color="auto" w:fill="D9D9D9"/>
            <w:vAlign w:val="center"/>
          </w:tcPr>
          <w:p w14:paraId="0D96B764" w14:textId="77777777" w:rsidR="006259FF" w:rsidRPr="00621A1A" w:rsidRDefault="006259FF" w:rsidP="006259FF">
            <w:pPr>
              <w:autoSpaceDE w:val="0"/>
              <w:jc w:val="center"/>
              <w:rPr>
                <w:rFonts w:ascii="Bookman Old Style" w:eastAsia="Times New Roman" w:hAnsi="Bookman Old Style" w:cs="Arial"/>
                <w:sz w:val="16"/>
                <w:szCs w:val="16"/>
                <w:lang w:eastAsia="pt-BR"/>
              </w:rPr>
            </w:pPr>
            <w:r w:rsidRPr="00621A1A">
              <w:rPr>
                <w:rFonts w:ascii="Bookman Old Style" w:eastAsia="Times New Roman" w:hAnsi="Bookman Old Style"/>
                <w:b/>
                <w:bCs/>
                <w:sz w:val="16"/>
                <w:szCs w:val="16"/>
                <w:lang w:val="pt-PT"/>
              </w:rPr>
              <w:t>VALOR MENSAL</w:t>
            </w:r>
          </w:p>
        </w:tc>
        <w:tc>
          <w:tcPr>
            <w:tcW w:w="830" w:type="pct"/>
            <w:shd w:val="clear" w:color="auto" w:fill="D9D9D9"/>
            <w:vAlign w:val="center"/>
          </w:tcPr>
          <w:p w14:paraId="6A063F7B" w14:textId="77777777" w:rsidR="006259FF" w:rsidRPr="00621A1A" w:rsidRDefault="006259FF" w:rsidP="006259FF">
            <w:pPr>
              <w:autoSpaceDE w:val="0"/>
              <w:jc w:val="center"/>
              <w:rPr>
                <w:rFonts w:ascii="Bookman Old Style" w:eastAsia="Times New Roman" w:hAnsi="Bookman Old Style" w:cs="Arial"/>
                <w:sz w:val="16"/>
                <w:szCs w:val="16"/>
                <w:lang w:eastAsia="pt-BR"/>
              </w:rPr>
            </w:pPr>
            <w:r w:rsidRPr="00621A1A">
              <w:rPr>
                <w:rFonts w:ascii="Bookman Old Style" w:eastAsia="Times New Roman" w:hAnsi="Bookman Old Style"/>
                <w:b/>
                <w:bCs/>
                <w:sz w:val="16"/>
                <w:szCs w:val="16"/>
                <w:lang w:val="pt-PT"/>
              </w:rPr>
              <w:t>VALOR TOTAL</w:t>
            </w:r>
          </w:p>
        </w:tc>
      </w:tr>
      <w:tr w:rsidR="006259FF" w:rsidRPr="00621A1A" w14:paraId="67CF4BAE" w14:textId="77777777" w:rsidTr="008F00FA">
        <w:trPr>
          <w:trHeight w:val="567"/>
          <w:jc w:val="center"/>
        </w:trPr>
        <w:tc>
          <w:tcPr>
            <w:tcW w:w="410" w:type="pct"/>
            <w:vAlign w:val="center"/>
          </w:tcPr>
          <w:p w14:paraId="7BE26870" w14:textId="77777777" w:rsidR="006259FF" w:rsidRPr="00621A1A" w:rsidRDefault="006259FF" w:rsidP="006259FF">
            <w:pPr>
              <w:autoSpaceDE w:val="0"/>
              <w:jc w:val="center"/>
              <w:rPr>
                <w:rFonts w:ascii="Bookman Old Style" w:eastAsia="Times New Roman" w:hAnsi="Bookman Old Style" w:cs="Arial"/>
                <w:sz w:val="16"/>
                <w:szCs w:val="16"/>
                <w:lang w:eastAsia="pt-BR"/>
              </w:rPr>
            </w:pPr>
            <w:r w:rsidRPr="00621A1A">
              <w:rPr>
                <w:rFonts w:ascii="Bookman Old Style" w:eastAsia="Times New Roman" w:hAnsi="Bookman Old Style"/>
                <w:sz w:val="16"/>
                <w:szCs w:val="16"/>
                <w:lang w:val="pt-PT"/>
              </w:rPr>
              <w:t>1</w:t>
            </w:r>
          </w:p>
        </w:tc>
        <w:tc>
          <w:tcPr>
            <w:tcW w:w="341" w:type="pct"/>
            <w:vAlign w:val="center"/>
          </w:tcPr>
          <w:p w14:paraId="37CD7997" w14:textId="77777777" w:rsidR="006259FF" w:rsidRPr="00621A1A" w:rsidRDefault="006259FF" w:rsidP="006259FF">
            <w:pPr>
              <w:autoSpaceDE w:val="0"/>
              <w:jc w:val="center"/>
              <w:rPr>
                <w:rFonts w:ascii="Bookman Old Style" w:eastAsia="Times New Roman" w:hAnsi="Bookman Old Style" w:cs="Arial"/>
                <w:sz w:val="16"/>
                <w:szCs w:val="16"/>
                <w:lang w:eastAsia="pt-BR"/>
              </w:rPr>
            </w:pPr>
            <w:r w:rsidRPr="00621A1A">
              <w:rPr>
                <w:rFonts w:ascii="Bookman Old Style" w:eastAsia="Times New Roman" w:hAnsi="Bookman Old Style"/>
                <w:sz w:val="16"/>
                <w:szCs w:val="16"/>
                <w:lang w:val="pt-PT"/>
              </w:rPr>
              <w:t>12</w:t>
            </w:r>
          </w:p>
        </w:tc>
        <w:tc>
          <w:tcPr>
            <w:tcW w:w="343" w:type="pct"/>
            <w:vAlign w:val="center"/>
          </w:tcPr>
          <w:p w14:paraId="60BE54B8" w14:textId="77777777" w:rsidR="006259FF" w:rsidRPr="00621A1A" w:rsidRDefault="006259FF" w:rsidP="006259FF">
            <w:pPr>
              <w:autoSpaceDE w:val="0"/>
              <w:jc w:val="center"/>
              <w:rPr>
                <w:rFonts w:ascii="Bookman Old Style" w:eastAsia="Times New Roman" w:hAnsi="Bookman Old Style" w:cs="Arial"/>
                <w:sz w:val="16"/>
                <w:szCs w:val="16"/>
                <w:lang w:eastAsia="pt-BR"/>
              </w:rPr>
            </w:pPr>
            <w:r w:rsidRPr="00621A1A">
              <w:rPr>
                <w:rFonts w:ascii="Bookman Old Style" w:eastAsia="Times New Roman" w:hAnsi="Bookman Old Style"/>
                <w:sz w:val="16"/>
                <w:szCs w:val="16"/>
                <w:lang w:val="pt-PT"/>
              </w:rPr>
              <w:t>MÊS</w:t>
            </w:r>
          </w:p>
        </w:tc>
        <w:tc>
          <w:tcPr>
            <w:tcW w:w="2244" w:type="pct"/>
            <w:vAlign w:val="center"/>
          </w:tcPr>
          <w:p w14:paraId="00C4FFE6" w14:textId="77777777" w:rsidR="006259FF" w:rsidRPr="00621A1A" w:rsidRDefault="006259FF" w:rsidP="006259FF">
            <w:pPr>
              <w:autoSpaceDE w:val="0"/>
              <w:jc w:val="both"/>
              <w:rPr>
                <w:rFonts w:ascii="Bookman Old Style" w:eastAsia="Times New Roman" w:hAnsi="Bookman Old Style" w:cs="Arial"/>
                <w:sz w:val="16"/>
                <w:szCs w:val="16"/>
                <w:lang w:eastAsia="pt-BR"/>
              </w:rPr>
            </w:pPr>
            <w:r w:rsidRPr="00621A1A">
              <w:rPr>
                <w:rFonts w:ascii="Bookman Old Style" w:eastAsia="Times New Roman" w:hAnsi="Bookman Old Style"/>
                <w:sz w:val="16"/>
                <w:szCs w:val="16"/>
                <w:lang w:val="pt-PT"/>
              </w:rPr>
              <w:t>PRESTAÇÃO DE SERVIÇOS COMUNS DE APOIO TÉCNICO-CONTÁBIL, ASSISTÊNCIA E ORIENTAÇÃO OPERACIONAL AO DEPARTAMENTO DE CONTABILIDADE, COM GERAÇÃO, CONFERÊNCIA, CORREÇÃO E REMESSA DE DADOS INFORMATIZADOS AO TCE/SP – PROJETO AUDESP, FASES 1 E 2, CONFORME TERMO DE REFERÊNCIA.</w:t>
            </w:r>
          </w:p>
        </w:tc>
        <w:tc>
          <w:tcPr>
            <w:tcW w:w="831" w:type="pct"/>
            <w:vAlign w:val="center"/>
          </w:tcPr>
          <w:p w14:paraId="2099C0FF" w14:textId="77777777" w:rsidR="006259FF" w:rsidRPr="00621A1A" w:rsidRDefault="006259FF" w:rsidP="006259FF">
            <w:pPr>
              <w:autoSpaceDE w:val="0"/>
              <w:jc w:val="center"/>
              <w:rPr>
                <w:rFonts w:ascii="Bookman Old Style" w:eastAsia="Times New Roman" w:hAnsi="Bookman Old Style" w:cs="Arial"/>
                <w:sz w:val="16"/>
                <w:szCs w:val="16"/>
                <w:lang w:eastAsia="pt-BR"/>
              </w:rPr>
            </w:pPr>
            <w:r w:rsidRPr="00621A1A">
              <w:rPr>
                <w:rFonts w:ascii="Bookman Old Style" w:eastAsia="Times New Roman" w:hAnsi="Bookman Old Style"/>
                <w:sz w:val="16"/>
                <w:szCs w:val="16"/>
                <w:lang w:val="pt-PT"/>
              </w:rPr>
              <w:t xml:space="preserve">R$ </w:t>
            </w:r>
            <w:r w:rsidRPr="00621A1A">
              <w:rPr>
                <w:rFonts w:ascii="Bookman Old Style" w:eastAsia="Times New Roman" w:hAnsi="Bookman Old Style"/>
                <w:sz w:val="16"/>
                <w:szCs w:val="16"/>
                <w:highlight w:val="yellow"/>
                <w:lang w:val="pt-PT"/>
              </w:rPr>
              <w:t>[●]</w:t>
            </w:r>
          </w:p>
        </w:tc>
        <w:tc>
          <w:tcPr>
            <w:tcW w:w="830" w:type="pct"/>
            <w:vAlign w:val="center"/>
          </w:tcPr>
          <w:p w14:paraId="458DB115" w14:textId="77777777" w:rsidR="006259FF" w:rsidRPr="00621A1A" w:rsidRDefault="006259FF" w:rsidP="006259FF">
            <w:pPr>
              <w:autoSpaceDE w:val="0"/>
              <w:jc w:val="center"/>
              <w:rPr>
                <w:rFonts w:ascii="Bookman Old Style" w:eastAsia="Times New Roman" w:hAnsi="Bookman Old Style" w:cs="Arial"/>
                <w:sz w:val="16"/>
                <w:szCs w:val="16"/>
                <w:lang w:eastAsia="pt-BR"/>
              </w:rPr>
            </w:pPr>
            <w:r w:rsidRPr="00621A1A">
              <w:rPr>
                <w:rFonts w:ascii="Bookman Old Style" w:eastAsia="Times New Roman" w:hAnsi="Bookman Old Style"/>
                <w:sz w:val="16"/>
                <w:szCs w:val="16"/>
                <w:lang w:val="pt-PT"/>
              </w:rPr>
              <w:t xml:space="preserve">R$ </w:t>
            </w:r>
            <w:r w:rsidRPr="00621A1A">
              <w:rPr>
                <w:rFonts w:ascii="Bookman Old Style" w:eastAsia="Times New Roman" w:hAnsi="Bookman Old Style"/>
                <w:sz w:val="16"/>
                <w:szCs w:val="16"/>
                <w:highlight w:val="yellow"/>
                <w:lang w:val="pt-PT"/>
              </w:rPr>
              <w:t>[●]</w:t>
            </w:r>
          </w:p>
        </w:tc>
      </w:tr>
    </w:tbl>
    <w:p w14:paraId="16973AAA" w14:textId="77777777" w:rsidR="006259FF" w:rsidRPr="006259FF" w:rsidRDefault="006259FF" w:rsidP="006259FF">
      <w:pPr>
        <w:autoSpaceDE w:val="0"/>
        <w:spacing w:before="240" w:line="360" w:lineRule="auto"/>
        <w:jc w:val="both"/>
        <w:rPr>
          <w:rFonts w:ascii="Bookman Old Style" w:eastAsia="Times New Roman" w:hAnsi="Bookman Old Style" w:cs="Arial"/>
          <w:sz w:val="24"/>
          <w:szCs w:val="24"/>
          <w:lang w:eastAsia="pt-BR"/>
        </w:rPr>
      </w:pPr>
      <w:r w:rsidRPr="006259FF">
        <w:rPr>
          <w:rFonts w:ascii="Bookman Old Style" w:eastAsia="Times New Roman" w:hAnsi="Bookman Old Style" w:cs="Arial"/>
          <w:sz w:val="24"/>
          <w:szCs w:val="24"/>
          <w:lang w:eastAsia="pt-BR"/>
        </w:rPr>
        <w:t xml:space="preserve">A empresa </w:t>
      </w:r>
      <w:r w:rsidRPr="006259FF">
        <w:rPr>
          <w:rFonts w:ascii="Bookman Old Style" w:eastAsia="Times New Roman" w:hAnsi="Bookman Old Style" w:cs="Arial"/>
          <w:b/>
          <w:bCs/>
          <w:sz w:val="24"/>
          <w:szCs w:val="24"/>
          <w:highlight w:val="yellow"/>
          <w:lang w:eastAsia="pt-BR"/>
        </w:rPr>
        <w:t>[RAZÃO SOCIAL]</w:t>
      </w:r>
      <w:r w:rsidRPr="006259FF">
        <w:rPr>
          <w:rFonts w:ascii="Bookman Old Style" w:eastAsia="Times New Roman" w:hAnsi="Bookman Old Style" w:cs="Arial"/>
          <w:sz w:val="24"/>
          <w:szCs w:val="24"/>
          <w:lang w:eastAsia="pt-BR"/>
        </w:rPr>
        <w:t xml:space="preserve">, por seu representante legal, </w:t>
      </w:r>
      <w:r w:rsidRPr="006259FF">
        <w:rPr>
          <w:rFonts w:ascii="Bookman Old Style" w:eastAsia="Times New Roman" w:hAnsi="Bookman Old Style" w:cs="Arial"/>
          <w:b/>
          <w:bCs/>
          <w:sz w:val="24"/>
          <w:szCs w:val="24"/>
          <w:lang w:eastAsia="pt-BR"/>
        </w:rPr>
        <w:t>DECLARA</w:t>
      </w:r>
      <w:r w:rsidRPr="006259FF">
        <w:rPr>
          <w:rFonts w:ascii="Bookman Old Style" w:eastAsia="Times New Roman" w:hAnsi="Bookman Old Style" w:cs="Arial"/>
          <w:sz w:val="24"/>
          <w:szCs w:val="24"/>
          <w:lang w:eastAsia="pt-BR"/>
        </w:rPr>
        <w:t xml:space="preserve"> que:</w:t>
      </w:r>
    </w:p>
    <w:p w14:paraId="42B2472D" w14:textId="77777777" w:rsidR="006259FF" w:rsidRPr="006259FF" w:rsidRDefault="006259FF" w:rsidP="006259FF">
      <w:pPr>
        <w:autoSpaceDE w:val="0"/>
        <w:spacing w:before="240" w:line="360" w:lineRule="auto"/>
        <w:jc w:val="both"/>
        <w:rPr>
          <w:rFonts w:ascii="Bookman Old Style" w:eastAsia="Times New Roman" w:hAnsi="Bookman Old Style" w:cs="Arial"/>
          <w:sz w:val="24"/>
          <w:szCs w:val="24"/>
          <w:lang w:eastAsia="pt-BR"/>
        </w:rPr>
      </w:pPr>
      <w:r w:rsidRPr="006259FF">
        <w:rPr>
          <w:rFonts w:ascii="Bookman Old Style" w:eastAsia="Times New Roman" w:hAnsi="Bookman Old Style" w:cs="Arial"/>
          <w:b/>
          <w:bCs/>
          <w:sz w:val="24"/>
          <w:szCs w:val="24"/>
          <w:lang w:eastAsia="pt-BR"/>
        </w:rPr>
        <w:t>a)</w:t>
      </w:r>
      <w:r w:rsidRPr="006259FF">
        <w:rPr>
          <w:rFonts w:ascii="Bookman Old Style" w:eastAsia="Times New Roman" w:hAnsi="Bookman Old Style" w:cs="Arial"/>
          <w:sz w:val="24"/>
          <w:szCs w:val="24"/>
          <w:lang w:eastAsia="pt-BR"/>
        </w:rPr>
        <w:t xml:space="preserve"> nos preços propostos estão incluídos todos os custos diretos e indiretos necessários ao integral cumprimento do objeto, inclusive tributos, fretes, seguros, encargos sociais, trabalhistas, previdenciários, fiscais, comerciais e demais despesas correlatas;</w:t>
      </w:r>
    </w:p>
    <w:p w14:paraId="4C6164C2" w14:textId="77777777" w:rsidR="006259FF" w:rsidRPr="006259FF" w:rsidRDefault="006259FF" w:rsidP="006259FF">
      <w:pPr>
        <w:autoSpaceDE w:val="0"/>
        <w:spacing w:before="240" w:line="360" w:lineRule="auto"/>
        <w:jc w:val="both"/>
        <w:rPr>
          <w:rFonts w:ascii="Bookman Old Style" w:eastAsia="Times New Roman" w:hAnsi="Bookman Old Style" w:cs="Arial"/>
          <w:sz w:val="24"/>
          <w:szCs w:val="24"/>
          <w:lang w:eastAsia="pt-BR"/>
        </w:rPr>
      </w:pPr>
      <w:r w:rsidRPr="006259FF">
        <w:rPr>
          <w:rFonts w:ascii="Bookman Old Style" w:eastAsia="Times New Roman" w:hAnsi="Bookman Old Style" w:cs="Arial"/>
          <w:b/>
          <w:bCs/>
          <w:sz w:val="24"/>
          <w:szCs w:val="24"/>
          <w:lang w:eastAsia="pt-BR"/>
        </w:rPr>
        <w:lastRenderedPageBreak/>
        <w:t>b)</w:t>
      </w:r>
      <w:r w:rsidRPr="006259FF">
        <w:rPr>
          <w:rFonts w:ascii="Bookman Old Style" w:eastAsia="Times New Roman" w:hAnsi="Bookman Old Style" w:cs="Arial"/>
          <w:sz w:val="24"/>
          <w:szCs w:val="24"/>
          <w:lang w:eastAsia="pt-BR"/>
        </w:rPr>
        <w:t xml:space="preserve"> a presente proposta é válida por </w:t>
      </w:r>
      <w:r w:rsidRPr="006259FF">
        <w:rPr>
          <w:rFonts w:ascii="Bookman Old Style" w:eastAsia="Times New Roman" w:hAnsi="Bookman Old Style" w:cs="Arial"/>
          <w:b/>
          <w:bCs/>
          <w:sz w:val="24"/>
          <w:szCs w:val="24"/>
          <w:lang w:eastAsia="pt-BR"/>
        </w:rPr>
        <w:t>60 (sessenta) dias</w:t>
      </w:r>
      <w:r w:rsidRPr="006259FF">
        <w:rPr>
          <w:rFonts w:ascii="Bookman Old Style" w:eastAsia="Times New Roman" w:hAnsi="Bookman Old Style" w:cs="Arial"/>
          <w:sz w:val="24"/>
          <w:szCs w:val="24"/>
          <w:lang w:eastAsia="pt-BR"/>
        </w:rPr>
        <w:t>, contados da data de sua apresentação, salvo prazo diverso previsto no aviso de contratação direta;</w:t>
      </w:r>
    </w:p>
    <w:p w14:paraId="4F635765" w14:textId="77777777" w:rsidR="006259FF" w:rsidRPr="006259FF" w:rsidRDefault="006259FF" w:rsidP="006259FF">
      <w:pPr>
        <w:autoSpaceDE w:val="0"/>
        <w:spacing w:before="240" w:line="360" w:lineRule="auto"/>
        <w:jc w:val="both"/>
        <w:rPr>
          <w:rFonts w:ascii="Bookman Old Style" w:eastAsia="Times New Roman" w:hAnsi="Bookman Old Style" w:cs="Arial"/>
          <w:sz w:val="24"/>
          <w:szCs w:val="24"/>
          <w:lang w:eastAsia="pt-BR"/>
        </w:rPr>
      </w:pPr>
      <w:r w:rsidRPr="006259FF">
        <w:rPr>
          <w:rFonts w:ascii="Bookman Old Style" w:eastAsia="Times New Roman" w:hAnsi="Bookman Old Style" w:cs="Arial"/>
          <w:b/>
          <w:bCs/>
          <w:sz w:val="24"/>
          <w:szCs w:val="24"/>
          <w:lang w:eastAsia="pt-BR"/>
        </w:rPr>
        <w:t>c)</w:t>
      </w:r>
      <w:r w:rsidRPr="006259FF">
        <w:rPr>
          <w:rFonts w:ascii="Bookman Old Style" w:eastAsia="Times New Roman" w:hAnsi="Bookman Old Style" w:cs="Arial"/>
          <w:sz w:val="24"/>
          <w:szCs w:val="24"/>
          <w:lang w:eastAsia="pt-BR"/>
        </w:rPr>
        <w:t xml:space="preserve"> a empresa não incorre em quaisquer das vedações legais à contratação com a Administração Pública, em especial aquelas previstas na Lei nº 14.133/2021;</w:t>
      </w:r>
    </w:p>
    <w:p w14:paraId="311C8D44" w14:textId="77777777" w:rsidR="006259FF" w:rsidRPr="006259FF" w:rsidRDefault="006259FF" w:rsidP="006259FF">
      <w:pPr>
        <w:autoSpaceDE w:val="0"/>
        <w:spacing w:before="240" w:line="360" w:lineRule="auto"/>
        <w:jc w:val="both"/>
        <w:rPr>
          <w:rFonts w:ascii="Bookman Old Style" w:eastAsia="Times New Roman" w:hAnsi="Bookman Old Style" w:cs="Arial"/>
          <w:sz w:val="24"/>
          <w:szCs w:val="24"/>
          <w:lang w:eastAsia="pt-BR"/>
        </w:rPr>
      </w:pPr>
      <w:r w:rsidRPr="006259FF">
        <w:rPr>
          <w:rFonts w:ascii="Bookman Old Style" w:eastAsia="Times New Roman" w:hAnsi="Bookman Old Style" w:cs="Arial"/>
          <w:b/>
          <w:bCs/>
          <w:sz w:val="24"/>
          <w:szCs w:val="24"/>
          <w:lang w:eastAsia="pt-BR"/>
        </w:rPr>
        <w:t>d)</w:t>
      </w:r>
      <w:r w:rsidRPr="006259FF">
        <w:rPr>
          <w:rFonts w:ascii="Bookman Old Style" w:eastAsia="Times New Roman" w:hAnsi="Bookman Old Style" w:cs="Arial"/>
          <w:sz w:val="24"/>
          <w:szCs w:val="24"/>
          <w:lang w:eastAsia="pt-BR"/>
        </w:rPr>
        <w:t xml:space="preserve"> a proposta foi elaborada de forma independente, observando-se integralmente as condições estabelecidas no aviso de contratação direta, no termo de referência e em seus anexos;</w:t>
      </w:r>
    </w:p>
    <w:p w14:paraId="2F643FCC" w14:textId="77777777" w:rsidR="006259FF" w:rsidRPr="006259FF" w:rsidRDefault="006259FF" w:rsidP="006259FF">
      <w:pPr>
        <w:autoSpaceDE w:val="0"/>
        <w:spacing w:before="240" w:line="360" w:lineRule="auto"/>
        <w:jc w:val="both"/>
        <w:rPr>
          <w:rFonts w:ascii="Bookman Old Style" w:eastAsia="Times New Roman" w:hAnsi="Bookman Old Style" w:cs="Arial"/>
          <w:sz w:val="24"/>
          <w:szCs w:val="24"/>
          <w:lang w:eastAsia="pt-BR"/>
        </w:rPr>
      </w:pPr>
      <w:r w:rsidRPr="006259FF">
        <w:rPr>
          <w:rFonts w:ascii="Bookman Old Style" w:eastAsia="Times New Roman" w:hAnsi="Bookman Old Style" w:cs="Arial"/>
          <w:b/>
          <w:bCs/>
          <w:sz w:val="24"/>
          <w:szCs w:val="24"/>
          <w:lang w:eastAsia="pt-BR"/>
        </w:rPr>
        <w:t>e)</w:t>
      </w:r>
      <w:r w:rsidRPr="006259FF">
        <w:rPr>
          <w:rFonts w:ascii="Bookman Old Style" w:eastAsia="Times New Roman" w:hAnsi="Bookman Old Style" w:cs="Arial"/>
          <w:sz w:val="24"/>
          <w:szCs w:val="24"/>
          <w:lang w:eastAsia="pt-BR"/>
        </w:rPr>
        <w:t xml:space="preserve"> a empresa tem pleno conhecimento das condições de execução do objeto e se compromete a cumprir integralmente as exigências estabelecidas pela Administração;</w:t>
      </w:r>
    </w:p>
    <w:p w14:paraId="33F043A3" w14:textId="77777777" w:rsidR="006259FF" w:rsidRPr="006259FF" w:rsidRDefault="006259FF" w:rsidP="006259FF">
      <w:pPr>
        <w:autoSpaceDE w:val="0"/>
        <w:spacing w:before="240" w:line="360" w:lineRule="auto"/>
        <w:jc w:val="both"/>
        <w:rPr>
          <w:rFonts w:ascii="Bookman Old Style" w:eastAsia="Times New Roman" w:hAnsi="Bookman Old Style" w:cs="Arial"/>
          <w:sz w:val="24"/>
          <w:szCs w:val="24"/>
          <w:lang w:eastAsia="pt-BR"/>
        </w:rPr>
      </w:pPr>
      <w:r w:rsidRPr="006259FF">
        <w:rPr>
          <w:rFonts w:ascii="Bookman Old Style" w:eastAsia="Times New Roman" w:hAnsi="Bookman Old Style" w:cs="Arial"/>
          <w:b/>
          <w:bCs/>
          <w:sz w:val="24"/>
          <w:szCs w:val="24"/>
          <w:lang w:eastAsia="pt-BR"/>
        </w:rPr>
        <w:t>f)</w:t>
      </w:r>
      <w:r w:rsidRPr="006259FF">
        <w:rPr>
          <w:rFonts w:ascii="Bookman Old Style" w:eastAsia="Times New Roman" w:hAnsi="Bookman Old Style" w:cs="Arial"/>
          <w:sz w:val="24"/>
          <w:szCs w:val="24"/>
          <w:lang w:eastAsia="pt-BR"/>
        </w:rPr>
        <w:t xml:space="preserve"> os valores ofertados são compatíveis com os praticados no mercado e suficientes para a execução integral do objeto, nos termos propostos.</w:t>
      </w:r>
    </w:p>
    <w:p w14:paraId="235F857B" w14:textId="77777777" w:rsidR="006259FF" w:rsidRPr="006259FF" w:rsidRDefault="006259FF" w:rsidP="006259FF">
      <w:pPr>
        <w:spacing w:before="240" w:line="360" w:lineRule="auto"/>
        <w:jc w:val="center"/>
        <w:rPr>
          <w:rFonts w:ascii="Bookman Old Style" w:eastAsia="Times New Roman" w:hAnsi="Bookman Old Style" w:cs="Times New Roman"/>
          <w:b/>
          <w:bCs/>
          <w:sz w:val="24"/>
          <w:szCs w:val="24"/>
          <w:lang w:val="pt-PT"/>
        </w:rPr>
      </w:pPr>
      <w:r w:rsidRPr="006259FF">
        <w:rPr>
          <w:rFonts w:ascii="Bookman Old Style" w:eastAsia="Times New Roman" w:hAnsi="Bookman Old Style" w:cs="Times New Roman"/>
          <w:b/>
          <w:bCs/>
          <w:sz w:val="24"/>
          <w:szCs w:val="24"/>
          <w:highlight w:val="yellow"/>
          <w:lang w:val="pt-PT"/>
        </w:rPr>
        <w:t>[LOCAL]</w:t>
      </w:r>
      <w:r w:rsidRPr="006259FF">
        <w:rPr>
          <w:rFonts w:ascii="Bookman Old Style" w:eastAsia="Times New Roman" w:hAnsi="Bookman Old Style" w:cs="Times New Roman"/>
          <w:b/>
          <w:bCs/>
          <w:sz w:val="24"/>
          <w:szCs w:val="24"/>
          <w:lang w:val="pt-PT"/>
        </w:rPr>
        <w:t xml:space="preserve">, </w:t>
      </w:r>
      <w:r w:rsidRPr="006259FF">
        <w:rPr>
          <w:rFonts w:ascii="Bookman Old Style" w:eastAsia="Times New Roman" w:hAnsi="Bookman Old Style" w:cs="Times New Roman"/>
          <w:b/>
          <w:bCs/>
          <w:sz w:val="24"/>
          <w:szCs w:val="24"/>
          <w:highlight w:val="yellow"/>
          <w:lang w:val="pt-PT"/>
        </w:rPr>
        <w:t>[DIA]</w:t>
      </w:r>
      <w:r w:rsidRPr="006259FF">
        <w:rPr>
          <w:rFonts w:ascii="Bookman Old Style" w:eastAsia="Times New Roman" w:hAnsi="Bookman Old Style" w:cs="Times New Roman"/>
          <w:b/>
          <w:bCs/>
          <w:sz w:val="24"/>
          <w:szCs w:val="24"/>
          <w:lang w:val="pt-PT"/>
        </w:rPr>
        <w:t xml:space="preserve"> de </w:t>
      </w:r>
      <w:r w:rsidRPr="006259FF">
        <w:rPr>
          <w:rFonts w:ascii="Bookman Old Style" w:eastAsia="Times New Roman" w:hAnsi="Bookman Old Style" w:cs="Times New Roman"/>
          <w:b/>
          <w:bCs/>
          <w:sz w:val="24"/>
          <w:szCs w:val="24"/>
          <w:highlight w:val="yellow"/>
          <w:lang w:val="pt-PT"/>
        </w:rPr>
        <w:t>[MÊS]</w:t>
      </w:r>
      <w:r w:rsidRPr="006259FF">
        <w:rPr>
          <w:rFonts w:ascii="Bookman Old Style" w:eastAsia="Times New Roman" w:hAnsi="Bookman Old Style" w:cs="Times New Roman"/>
          <w:b/>
          <w:bCs/>
          <w:sz w:val="24"/>
          <w:szCs w:val="24"/>
          <w:lang w:val="pt-PT"/>
        </w:rPr>
        <w:t xml:space="preserve"> de </w:t>
      </w:r>
      <w:r w:rsidRPr="006259FF">
        <w:rPr>
          <w:rFonts w:ascii="Bookman Old Style" w:eastAsia="Times New Roman" w:hAnsi="Bookman Old Style" w:cs="Times New Roman"/>
          <w:b/>
          <w:bCs/>
          <w:sz w:val="24"/>
          <w:szCs w:val="24"/>
          <w:highlight w:val="yellow"/>
          <w:lang w:val="pt-PT"/>
        </w:rPr>
        <w:t>[ANO]</w:t>
      </w:r>
      <w:r w:rsidRPr="006259FF">
        <w:rPr>
          <w:rFonts w:ascii="Bookman Old Style" w:eastAsia="Times New Roman" w:hAnsi="Bookman Old Style" w:cs="Times New Roman"/>
          <w:b/>
          <w:bCs/>
          <w:sz w:val="24"/>
          <w:szCs w:val="24"/>
          <w:lang w:val="pt-PT"/>
        </w:rPr>
        <w:t>.</w:t>
      </w:r>
    </w:p>
    <w:p w14:paraId="1BD24FBB" w14:textId="77777777" w:rsidR="006259FF" w:rsidRDefault="006259FF" w:rsidP="006259FF">
      <w:pPr>
        <w:spacing w:before="240" w:line="360" w:lineRule="auto"/>
        <w:jc w:val="center"/>
        <w:rPr>
          <w:rFonts w:ascii="Bookman Old Style" w:eastAsia="Times New Roman" w:hAnsi="Bookman Old Style" w:cs="Times New Roman"/>
          <w:sz w:val="24"/>
          <w:szCs w:val="24"/>
          <w:lang w:val="pt-PT"/>
        </w:rPr>
      </w:pPr>
    </w:p>
    <w:p w14:paraId="1B1027C3" w14:textId="77777777" w:rsidR="002D6683" w:rsidRPr="006259FF" w:rsidRDefault="002D6683" w:rsidP="006259FF">
      <w:pPr>
        <w:spacing w:before="240" w:line="360" w:lineRule="auto"/>
        <w:jc w:val="center"/>
        <w:rPr>
          <w:rFonts w:ascii="Bookman Old Style" w:eastAsia="Times New Roman" w:hAnsi="Bookman Old Style" w:cs="Times New Roman"/>
          <w:sz w:val="24"/>
          <w:szCs w:val="24"/>
          <w:lang w:val="pt-PT"/>
        </w:rPr>
      </w:pPr>
    </w:p>
    <w:p w14:paraId="6E497F5D" w14:textId="77777777" w:rsidR="006259FF" w:rsidRPr="006259FF" w:rsidRDefault="006259FF" w:rsidP="002D6683">
      <w:pPr>
        <w:spacing w:before="240" w:after="0" w:line="360" w:lineRule="auto"/>
        <w:jc w:val="center"/>
        <w:rPr>
          <w:rFonts w:ascii="Bookman Old Style" w:eastAsia="Times New Roman" w:hAnsi="Bookman Old Style" w:cs="Times New Roman"/>
          <w:b/>
          <w:bCs/>
          <w:sz w:val="24"/>
          <w:szCs w:val="24"/>
          <w:lang w:val="pt-PT"/>
        </w:rPr>
      </w:pPr>
      <w:r w:rsidRPr="006259FF">
        <w:rPr>
          <w:rFonts w:ascii="Bookman Old Style" w:eastAsia="Times New Roman" w:hAnsi="Bookman Old Style" w:cs="Times New Roman"/>
          <w:b/>
          <w:bCs/>
          <w:sz w:val="24"/>
          <w:szCs w:val="24"/>
          <w:lang w:val="pt-PT"/>
        </w:rPr>
        <w:t>__________________________________________________</w:t>
      </w:r>
    </w:p>
    <w:p w14:paraId="14A8091A" w14:textId="77777777" w:rsidR="006259FF" w:rsidRPr="006259FF" w:rsidRDefault="006259FF" w:rsidP="002D6683">
      <w:pPr>
        <w:spacing w:after="0" w:line="360" w:lineRule="auto"/>
        <w:jc w:val="center"/>
        <w:rPr>
          <w:rFonts w:ascii="Bookman Old Style" w:eastAsia="Times New Roman" w:hAnsi="Bookman Old Style" w:cs="Times New Roman"/>
          <w:b/>
          <w:bCs/>
          <w:sz w:val="24"/>
          <w:szCs w:val="24"/>
          <w:highlight w:val="yellow"/>
          <w:lang w:val="pt-PT"/>
        </w:rPr>
      </w:pPr>
      <w:r w:rsidRPr="006259FF">
        <w:rPr>
          <w:rFonts w:ascii="Bookman Old Style" w:eastAsia="Times New Roman" w:hAnsi="Bookman Old Style" w:cs="Times New Roman"/>
          <w:b/>
          <w:bCs/>
          <w:sz w:val="24"/>
          <w:szCs w:val="24"/>
          <w:highlight w:val="yellow"/>
          <w:lang w:val="pt-PT"/>
        </w:rPr>
        <w:t>[NOME DO REPRESENTANTE LEGAL]</w:t>
      </w:r>
    </w:p>
    <w:p w14:paraId="5E8305A6" w14:textId="334EB0B9" w:rsidR="006259FF" w:rsidRDefault="006259FF" w:rsidP="002D6683">
      <w:pPr>
        <w:spacing w:line="360" w:lineRule="auto"/>
        <w:jc w:val="center"/>
        <w:rPr>
          <w:rFonts w:ascii="Bookman Old Style" w:eastAsia="Times New Roman" w:hAnsi="Bookman Old Style" w:cs="Times New Roman"/>
          <w:b/>
          <w:bCs/>
          <w:sz w:val="24"/>
          <w:szCs w:val="24"/>
          <w:highlight w:val="yellow"/>
          <w:lang w:val="pt-PT"/>
        </w:rPr>
      </w:pPr>
      <w:r w:rsidRPr="006259FF">
        <w:rPr>
          <w:rFonts w:ascii="Bookman Old Style" w:eastAsia="Times New Roman" w:hAnsi="Bookman Old Style" w:cs="Times New Roman"/>
          <w:b/>
          <w:bCs/>
          <w:sz w:val="24"/>
          <w:szCs w:val="24"/>
          <w:highlight w:val="yellow"/>
          <w:lang w:val="pt-PT"/>
        </w:rPr>
        <w:t>[CPF: XXX.XXX.XXX-XX]</w:t>
      </w:r>
    </w:p>
    <w:p w14:paraId="3C560AD4" w14:textId="547F50D0" w:rsidR="00621A1A" w:rsidRPr="00621A1A" w:rsidRDefault="00621A1A" w:rsidP="00621A1A">
      <w:pPr>
        <w:keepNext/>
        <w:keepLines/>
        <w:shd w:val="clear" w:color="auto" w:fill="D9D9D9"/>
        <w:spacing w:before="360" w:after="80" w:line="360" w:lineRule="auto"/>
        <w:jc w:val="both"/>
        <w:outlineLvl w:val="0"/>
        <w:rPr>
          <w:rFonts w:ascii="Bookman Old Style" w:eastAsia="Times New Roman" w:hAnsi="Bookman Old Style" w:cs="Times New Roman"/>
          <w:b/>
          <w:bCs/>
          <w:kern w:val="2"/>
          <w:sz w:val="24"/>
          <w:szCs w:val="24"/>
          <w14:ligatures w14:val="standardContextual"/>
        </w:rPr>
      </w:pPr>
      <w:r w:rsidRPr="00621A1A">
        <w:rPr>
          <w:rFonts w:ascii="Bookman Old Style" w:eastAsia="Times New Roman" w:hAnsi="Bookman Old Style" w:cs="Times New Roman"/>
          <w:b/>
          <w:bCs/>
          <w:kern w:val="2"/>
          <w:sz w:val="24"/>
          <w:szCs w:val="24"/>
          <w14:ligatures w14:val="standardContextual"/>
        </w:rPr>
        <w:lastRenderedPageBreak/>
        <w:t>ANEXO I</w:t>
      </w:r>
      <w:r w:rsidR="00FA2831">
        <w:rPr>
          <w:rFonts w:ascii="Bookman Old Style" w:eastAsia="Times New Roman" w:hAnsi="Bookman Old Style" w:cs="Times New Roman"/>
          <w:b/>
          <w:bCs/>
          <w:kern w:val="2"/>
          <w:sz w:val="24"/>
          <w:szCs w:val="24"/>
          <w14:ligatures w14:val="standardContextual"/>
        </w:rPr>
        <w:t>I</w:t>
      </w:r>
      <w:r w:rsidRPr="00621A1A">
        <w:rPr>
          <w:rFonts w:ascii="Bookman Old Style" w:eastAsia="Times New Roman" w:hAnsi="Bookman Old Style" w:cs="Times New Roman"/>
          <w:b/>
          <w:bCs/>
          <w:kern w:val="2"/>
          <w:sz w:val="24"/>
          <w:szCs w:val="24"/>
          <w14:ligatures w14:val="standardContextual"/>
        </w:rPr>
        <w:t xml:space="preserve">I </w:t>
      </w:r>
      <w:r>
        <w:rPr>
          <w:rFonts w:ascii="Bookman Old Style" w:eastAsia="Times New Roman" w:hAnsi="Bookman Old Style" w:cs="Times New Roman"/>
          <w:b/>
          <w:bCs/>
          <w:kern w:val="2"/>
          <w:sz w:val="24"/>
          <w:szCs w:val="24"/>
          <w14:ligatures w14:val="standardContextual"/>
        </w:rPr>
        <w:t>–</w:t>
      </w:r>
      <w:r w:rsidRPr="00621A1A">
        <w:rPr>
          <w:rFonts w:ascii="Bookman Old Style" w:eastAsia="Times New Roman" w:hAnsi="Bookman Old Style" w:cs="Times New Roman"/>
          <w:b/>
          <w:bCs/>
          <w:kern w:val="2"/>
          <w:sz w:val="24"/>
          <w:szCs w:val="24"/>
          <w14:ligatures w14:val="standardContextual"/>
        </w:rPr>
        <w:t xml:space="preserve"> MODELO DE DECLARAÇ</w:t>
      </w:r>
      <w:r w:rsidR="002D6683">
        <w:rPr>
          <w:rFonts w:ascii="Bookman Old Style" w:eastAsia="Times New Roman" w:hAnsi="Bookman Old Style" w:cs="Times New Roman"/>
          <w:b/>
          <w:bCs/>
          <w:kern w:val="2"/>
          <w:sz w:val="24"/>
          <w:szCs w:val="24"/>
          <w14:ligatures w14:val="standardContextual"/>
        </w:rPr>
        <w:t>ÕES</w:t>
      </w:r>
    </w:p>
    <w:p w14:paraId="4BEA3218" w14:textId="46509449" w:rsidR="00621A1A" w:rsidRPr="00621A1A" w:rsidRDefault="00621A1A" w:rsidP="00621A1A">
      <w:pPr>
        <w:spacing w:before="240" w:line="360" w:lineRule="auto"/>
        <w:jc w:val="both"/>
        <w:rPr>
          <w:rFonts w:ascii="Bookman Old Style" w:eastAsia="Times New Roman" w:hAnsi="Bookman Old Style" w:cs="Times New Roman"/>
          <w:sz w:val="24"/>
          <w:szCs w:val="24"/>
          <w:lang w:val="pt-PT"/>
        </w:rPr>
      </w:pPr>
      <w:r w:rsidRPr="00621A1A">
        <w:rPr>
          <w:rFonts w:ascii="Bookman Old Style" w:eastAsia="Times New Roman" w:hAnsi="Bookman Old Style" w:cs="Times New Roman"/>
          <w:sz w:val="24"/>
          <w:szCs w:val="24"/>
          <w:lang w:val="pt-PT"/>
        </w:rPr>
        <w:t xml:space="preserve">A empresa </w:t>
      </w:r>
      <w:r w:rsidRPr="00621A1A">
        <w:rPr>
          <w:rFonts w:ascii="Bookman Old Style" w:eastAsia="Times New Roman" w:hAnsi="Bookman Old Style" w:cs="Times New Roman"/>
          <w:b/>
          <w:bCs/>
          <w:sz w:val="24"/>
          <w:szCs w:val="24"/>
          <w:highlight w:val="yellow"/>
          <w:lang w:val="pt-PT"/>
        </w:rPr>
        <w:t>[RAZÃO SOCIAL]</w:t>
      </w:r>
      <w:r w:rsidRPr="00621A1A">
        <w:rPr>
          <w:rFonts w:ascii="Bookman Old Style" w:eastAsia="Times New Roman" w:hAnsi="Bookman Old Style" w:cs="Times New Roman"/>
          <w:sz w:val="24"/>
          <w:szCs w:val="24"/>
          <w:lang w:val="pt-PT"/>
        </w:rPr>
        <w:t xml:space="preserve">, inscrita no CNPJ sob nº </w:t>
      </w:r>
      <w:r w:rsidRPr="00621A1A">
        <w:rPr>
          <w:rFonts w:ascii="Bookman Old Style" w:eastAsia="Times New Roman" w:hAnsi="Bookman Old Style" w:cs="Times New Roman"/>
          <w:sz w:val="24"/>
          <w:szCs w:val="24"/>
          <w:highlight w:val="yellow"/>
          <w:lang w:val="pt-PT"/>
        </w:rPr>
        <w:t>[X]</w:t>
      </w:r>
      <w:r w:rsidRPr="00621A1A">
        <w:rPr>
          <w:rFonts w:ascii="Bookman Old Style" w:eastAsia="Times New Roman" w:hAnsi="Bookman Old Style" w:cs="Times New Roman"/>
          <w:sz w:val="24"/>
          <w:szCs w:val="24"/>
          <w:lang w:val="pt-PT"/>
        </w:rPr>
        <w:t xml:space="preserve">, com sede à </w:t>
      </w:r>
      <w:r w:rsidRPr="00621A1A">
        <w:rPr>
          <w:rFonts w:ascii="Bookman Old Style" w:eastAsia="Times New Roman" w:hAnsi="Bookman Old Style" w:cs="Times New Roman"/>
          <w:sz w:val="24"/>
          <w:szCs w:val="24"/>
          <w:highlight w:val="yellow"/>
          <w:lang w:val="pt-PT"/>
        </w:rPr>
        <w:t>[endereço completo]</w:t>
      </w:r>
      <w:r w:rsidRPr="00621A1A">
        <w:rPr>
          <w:rFonts w:ascii="Bookman Old Style" w:eastAsia="Times New Roman" w:hAnsi="Bookman Old Style" w:cs="Times New Roman"/>
          <w:sz w:val="24"/>
          <w:szCs w:val="24"/>
          <w:lang w:val="pt-PT"/>
        </w:rPr>
        <w:t xml:space="preserve">, neste ato representada por </w:t>
      </w:r>
      <w:r w:rsidRPr="00621A1A">
        <w:rPr>
          <w:rFonts w:ascii="Bookman Old Style" w:eastAsia="Times New Roman" w:hAnsi="Bookman Old Style" w:cs="Times New Roman"/>
          <w:b/>
          <w:bCs/>
          <w:sz w:val="24"/>
          <w:szCs w:val="24"/>
          <w:highlight w:val="yellow"/>
          <w:lang w:val="pt-PT"/>
        </w:rPr>
        <w:t>[NOME DO REPRESENTANTE LEGAL]</w:t>
      </w:r>
      <w:r w:rsidRPr="00621A1A">
        <w:rPr>
          <w:rFonts w:ascii="Bookman Old Style" w:eastAsia="Times New Roman" w:hAnsi="Bookman Old Style" w:cs="Times New Roman"/>
          <w:sz w:val="24"/>
          <w:szCs w:val="24"/>
          <w:lang w:val="pt-PT"/>
        </w:rPr>
        <w:t xml:space="preserve">, </w:t>
      </w:r>
      <w:r w:rsidRPr="00621A1A">
        <w:rPr>
          <w:rFonts w:ascii="Bookman Old Style" w:eastAsia="Times New Roman" w:hAnsi="Bookman Old Style" w:cs="Times New Roman"/>
          <w:sz w:val="24"/>
          <w:szCs w:val="24"/>
          <w:highlight w:val="yellow"/>
          <w:lang w:val="pt-PT"/>
        </w:rPr>
        <w:t>[qualificação]</w:t>
      </w:r>
      <w:r w:rsidRPr="00621A1A">
        <w:rPr>
          <w:rFonts w:ascii="Bookman Old Style" w:eastAsia="Times New Roman" w:hAnsi="Bookman Old Style" w:cs="Times New Roman"/>
          <w:sz w:val="24"/>
          <w:szCs w:val="24"/>
          <w:lang w:val="pt-PT"/>
        </w:rPr>
        <w:t xml:space="preserve">, portador(a) do RG nº </w:t>
      </w:r>
      <w:r w:rsidRPr="00621A1A">
        <w:rPr>
          <w:rFonts w:ascii="Bookman Old Style" w:eastAsia="Times New Roman" w:hAnsi="Bookman Old Style" w:cs="Times New Roman"/>
          <w:sz w:val="24"/>
          <w:szCs w:val="24"/>
          <w:highlight w:val="yellow"/>
          <w:lang w:val="pt-PT"/>
        </w:rPr>
        <w:t>[X]</w:t>
      </w:r>
      <w:r w:rsidRPr="00621A1A">
        <w:rPr>
          <w:rFonts w:ascii="Bookman Old Style" w:eastAsia="Times New Roman" w:hAnsi="Bookman Old Style" w:cs="Times New Roman"/>
          <w:sz w:val="24"/>
          <w:szCs w:val="24"/>
          <w:lang w:val="pt-PT"/>
        </w:rPr>
        <w:t xml:space="preserve"> e do CPF nº </w:t>
      </w:r>
      <w:r w:rsidRPr="00621A1A">
        <w:rPr>
          <w:rFonts w:ascii="Bookman Old Style" w:eastAsia="Times New Roman" w:hAnsi="Bookman Old Style" w:cs="Times New Roman"/>
          <w:sz w:val="24"/>
          <w:szCs w:val="24"/>
          <w:highlight w:val="yellow"/>
          <w:lang w:val="pt-PT"/>
        </w:rPr>
        <w:t>[X]</w:t>
      </w:r>
      <w:r w:rsidRPr="00621A1A">
        <w:rPr>
          <w:rFonts w:ascii="Bookman Old Style" w:eastAsia="Times New Roman" w:hAnsi="Bookman Old Style" w:cs="Times New Roman"/>
          <w:sz w:val="24"/>
          <w:szCs w:val="24"/>
          <w:lang w:val="pt-PT"/>
        </w:rPr>
        <w:t xml:space="preserve">, para fins de participação do processo de contratação direta por </w:t>
      </w:r>
      <w:r w:rsidR="0026231F" w:rsidRPr="00621A1A">
        <w:rPr>
          <w:rFonts w:ascii="Bookman Old Style" w:eastAsia="Times New Roman" w:hAnsi="Bookman Old Style" w:cs="Times New Roman"/>
          <w:b/>
          <w:bCs/>
          <w:sz w:val="24"/>
          <w:szCs w:val="24"/>
          <w:lang w:val="pt-PT"/>
        </w:rPr>
        <w:t xml:space="preserve">DISPENSA DE LICITAÇÃO Nº </w:t>
      </w:r>
      <w:r w:rsidR="0026231F">
        <w:rPr>
          <w:rFonts w:ascii="Bookman Old Style" w:eastAsia="Times New Roman" w:hAnsi="Bookman Old Style" w:cs="Times New Roman"/>
          <w:b/>
          <w:bCs/>
          <w:sz w:val="24"/>
          <w:szCs w:val="24"/>
          <w:lang w:val="pt-PT"/>
        </w:rPr>
        <w:t>17</w:t>
      </w:r>
      <w:r w:rsidR="0026231F" w:rsidRPr="00621A1A">
        <w:rPr>
          <w:rFonts w:ascii="Bookman Old Style" w:eastAsia="Times New Roman" w:hAnsi="Bookman Old Style" w:cs="Times New Roman"/>
          <w:b/>
          <w:bCs/>
          <w:sz w:val="24"/>
          <w:szCs w:val="24"/>
          <w:lang w:val="pt-PT"/>
        </w:rPr>
        <w:t>/2026</w:t>
      </w:r>
      <w:r w:rsidRPr="00621A1A">
        <w:rPr>
          <w:rFonts w:ascii="Bookman Old Style" w:eastAsia="Times New Roman" w:hAnsi="Bookman Old Style" w:cs="Times New Roman"/>
          <w:sz w:val="24"/>
          <w:szCs w:val="24"/>
          <w:lang w:val="pt-PT"/>
        </w:rPr>
        <w:t xml:space="preserve">, cujo objeto é a </w:t>
      </w:r>
      <w:r w:rsidRPr="00621A1A">
        <w:rPr>
          <w:rFonts w:ascii="Bookman Old Style" w:eastAsia="Times New Roman" w:hAnsi="Bookman Old Style" w:cs="Times New Roman"/>
          <w:b/>
          <w:bCs/>
          <w:i/>
          <w:iCs/>
          <w:sz w:val="24"/>
          <w:szCs w:val="24"/>
          <w:lang w:val="pt-PT"/>
        </w:rPr>
        <w:t>contratação de empresa para prestação de serviços comuns de apoio técnico-contábil, assistência e orientação operacional ao Departamento de Contabilidade, compreendendo o apoio à elaboração, conferência e validação das demonstrações contábeis do Município, bem como a geração, conferência, correção e remessa de dados informatizados ao TCE/SP, relativos ao Projeto AUDESP, fases 1 e 2, com execução continuada e sem dedicação exclusiva de mão de obra</w:t>
      </w:r>
      <w:r w:rsidRPr="00621A1A">
        <w:rPr>
          <w:rFonts w:ascii="Bookman Old Style" w:eastAsia="Times New Roman" w:hAnsi="Bookman Old Style" w:cs="Times New Roman"/>
          <w:sz w:val="24"/>
          <w:szCs w:val="24"/>
          <w:lang w:val="pt-PT"/>
        </w:rPr>
        <w:t xml:space="preserve">, </w:t>
      </w:r>
      <w:r w:rsidRPr="00621A1A">
        <w:rPr>
          <w:rFonts w:ascii="Bookman Old Style" w:eastAsia="Times New Roman" w:hAnsi="Bookman Old Style" w:cs="Times New Roman"/>
          <w:b/>
          <w:bCs/>
          <w:sz w:val="24"/>
          <w:szCs w:val="24"/>
          <w:u w:val="single"/>
          <w:lang w:val="pt-PT"/>
        </w:rPr>
        <w:t>DECLARA</w:t>
      </w:r>
      <w:r w:rsidRPr="00621A1A">
        <w:rPr>
          <w:rFonts w:ascii="Bookman Old Style" w:eastAsia="Times New Roman" w:hAnsi="Bookman Old Style" w:cs="Times New Roman"/>
          <w:sz w:val="24"/>
          <w:szCs w:val="24"/>
          <w:lang w:val="pt-PT"/>
        </w:rPr>
        <w:t>, sob as penas da lei, que:</w:t>
      </w:r>
    </w:p>
    <w:p w14:paraId="72909CB4" w14:textId="77777777" w:rsidR="00621A1A" w:rsidRPr="00621A1A" w:rsidRDefault="00621A1A" w:rsidP="00621A1A">
      <w:pPr>
        <w:spacing w:before="240" w:line="360" w:lineRule="auto"/>
        <w:jc w:val="both"/>
        <w:rPr>
          <w:rFonts w:ascii="Bookman Old Style" w:eastAsia="Times New Roman" w:hAnsi="Bookman Old Style" w:cs="Times New Roman"/>
          <w:sz w:val="24"/>
          <w:szCs w:val="24"/>
          <w:lang w:val="pt-PT"/>
        </w:rPr>
      </w:pPr>
      <w:r w:rsidRPr="00621A1A">
        <w:rPr>
          <w:rFonts w:ascii="Bookman Old Style" w:eastAsia="Times New Roman" w:hAnsi="Bookman Old Style" w:cs="Times New Roman"/>
          <w:b/>
          <w:bCs/>
          <w:sz w:val="24"/>
          <w:szCs w:val="24"/>
          <w:lang w:val="pt-PT"/>
        </w:rPr>
        <w:t>a)</w:t>
      </w:r>
      <w:r w:rsidRPr="00621A1A">
        <w:rPr>
          <w:rFonts w:ascii="Bookman Old Style" w:eastAsia="Times New Roman" w:hAnsi="Bookman Old Style" w:cs="Times New Roman"/>
          <w:sz w:val="24"/>
          <w:szCs w:val="24"/>
          <w:lang w:val="pt-PT"/>
        </w:rPr>
        <w:t xml:space="preserve"> está ciente e concorda com as condições contidas no aviso de contratação direta, no termo de referência e em seus anexos, quando houver;</w:t>
      </w:r>
    </w:p>
    <w:p w14:paraId="30D8AB5D" w14:textId="77777777" w:rsidR="00621A1A" w:rsidRPr="00621A1A" w:rsidRDefault="00621A1A" w:rsidP="00621A1A">
      <w:pPr>
        <w:spacing w:before="240" w:line="360" w:lineRule="auto"/>
        <w:jc w:val="both"/>
        <w:rPr>
          <w:rFonts w:ascii="Bookman Old Style" w:eastAsia="Times New Roman" w:hAnsi="Bookman Old Style" w:cs="Times New Roman"/>
          <w:sz w:val="24"/>
          <w:szCs w:val="24"/>
          <w:lang w:val="pt-PT"/>
        </w:rPr>
      </w:pPr>
      <w:r w:rsidRPr="00621A1A">
        <w:rPr>
          <w:rFonts w:ascii="Bookman Old Style" w:eastAsia="Times New Roman" w:hAnsi="Bookman Old Style" w:cs="Times New Roman"/>
          <w:b/>
          <w:bCs/>
          <w:sz w:val="24"/>
          <w:szCs w:val="24"/>
          <w:lang w:val="pt-PT"/>
        </w:rPr>
        <w:t>b)</w:t>
      </w:r>
      <w:r w:rsidRPr="00621A1A">
        <w:rPr>
          <w:rFonts w:ascii="Bookman Old Style" w:eastAsia="Times New Roman" w:hAnsi="Bookman Old Style" w:cs="Times New Roman"/>
          <w:sz w:val="24"/>
          <w:szCs w:val="24"/>
          <w:lang w:val="pt-PT"/>
        </w:rPr>
        <w:t xml:space="preserve"> preenche os requisitos de habilitação e de qualificação mínima necessários à contratação, nos termos da legislação e do instrumento convocatório, quando exigidos;</w:t>
      </w:r>
    </w:p>
    <w:p w14:paraId="0332DFF0" w14:textId="77777777" w:rsidR="00621A1A" w:rsidRPr="00621A1A" w:rsidRDefault="00621A1A" w:rsidP="00621A1A">
      <w:pPr>
        <w:spacing w:before="240" w:line="360" w:lineRule="auto"/>
        <w:jc w:val="both"/>
        <w:rPr>
          <w:rFonts w:ascii="Bookman Old Style" w:eastAsia="Times New Roman" w:hAnsi="Bookman Old Style" w:cs="Times New Roman"/>
          <w:sz w:val="24"/>
          <w:szCs w:val="24"/>
          <w:lang w:val="pt-PT"/>
        </w:rPr>
      </w:pPr>
      <w:r w:rsidRPr="00621A1A">
        <w:rPr>
          <w:rFonts w:ascii="Bookman Old Style" w:eastAsia="Times New Roman" w:hAnsi="Bookman Old Style" w:cs="Times New Roman"/>
          <w:b/>
          <w:bCs/>
          <w:sz w:val="24"/>
          <w:szCs w:val="24"/>
          <w:lang w:val="pt-PT"/>
        </w:rPr>
        <w:t>c)</w:t>
      </w:r>
      <w:r w:rsidRPr="00621A1A">
        <w:rPr>
          <w:rFonts w:ascii="Bookman Old Style" w:eastAsia="Times New Roman" w:hAnsi="Bookman Old Style" w:cs="Times New Roman"/>
          <w:sz w:val="24"/>
          <w:szCs w:val="24"/>
          <w:lang w:val="pt-PT"/>
        </w:rPr>
        <w:t xml:space="preserve"> inexistem fatos impeditivos para sua contratação com a Administração Pública, comprometendo-se a comunicar eventual superveniência de fato impeditivo;</w:t>
      </w:r>
    </w:p>
    <w:p w14:paraId="51C5A2CC" w14:textId="77777777" w:rsidR="00621A1A" w:rsidRPr="00621A1A" w:rsidRDefault="00621A1A" w:rsidP="00621A1A">
      <w:pPr>
        <w:spacing w:before="240" w:line="360" w:lineRule="auto"/>
        <w:jc w:val="both"/>
        <w:rPr>
          <w:rFonts w:ascii="Bookman Old Style" w:eastAsia="Times New Roman" w:hAnsi="Bookman Old Style" w:cs="Times New Roman"/>
          <w:sz w:val="24"/>
          <w:szCs w:val="24"/>
          <w:lang w:val="pt-PT"/>
        </w:rPr>
      </w:pPr>
      <w:r w:rsidRPr="00621A1A">
        <w:rPr>
          <w:rFonts w:ascii="Bookman Old Style" w:eastAsia="Times New Roman" w:hAnsi="Bookman Old Style" w:cs="Times New Roman"/>
          <w:b/>
          <w:bCs/>
          <w:sz w:val="24"/>
          <w:szCs w:val="24"/>
          <w:lang w:val="pt-PT"/>
        </w:rPr>
        <w:lastRenderedPageBreak/>
        <w:t>d)</w:t>
      </w:r>
      <w:r w:rsidRPr="00621A1A">
        <w:rPr>
          <w:rFonts w:ascii="Bookman Old Style" w:eastAsia="Times New Roman" w:hAnsi="Bookman Old Style" w:cs="Times New Roman"/>
          <w:sz w:val="24"/>
          <w:szCs w:val="24"/>
          <w:lang w:val="pt-PT"/>
        </w:rPr>
        <w:t xml:space="preserve"> não emprega menor de 18 (dezoito) anos em trabalho noturno, perigoso ou insalubre e não emprega menor de 16 (dezesseis) anos em qualquer trabalho, salvo na condição de aprendiz, a partir de 14 (quatorze) anos, nos termos do art. 7º, inciso XXXIII, da Constituição Federal;</w:t>
      </w:r>
    </w:p>
    <w:p w14:paraId="26035730" w14:textId="77777777" w:rsidR="00621A1A" w:rsidRPr="00621A1A" w:rsidRDefault="00621A1A" w:rsidP="00621A1A">
      <w:pPr>
        <w:spacing w:before="240" w:line="360" w:lineRule="auto"/>
        <w:jc w:val="both"/>
        <w:rPr>
          <w:rFonts w:ascii="Bookman Old Style" w:eastAsia="Times New Roman" w:hAnsi="Bookman Old Style" w:cs="Times New Roman"/>
          <w:sz w:val="24"/>
          <w:szCs w:val="24"/>
          <w:lang w:val="pt-PT"/>
        </w:rPr>
      </w:pPr>
      <w:r w:rsidRPr="00621A1A">
        <w:rPr>
          <w:rFonts w:ascii="Bookman Old Style" w:eastAsia="Times New Roman" w:hAnsi="Bookman Old Style" w:cs="Times New Roman"/>
          <w:b/>
          <w:bCs/>
          <w:sz w:val="24"/>
          <w:szCs w:val="24"/>
          <w:lang w:val="pt-PT"/>
        </w:rPr>
        <w:t>e)</w:t>
      </w:r>
      <w:r w:rsidRPr="00621A1A">
        <w:rPr>
          <w:rFonts w:ascii="Bookman Old Style" w:eastAsia="Times New Roman" w:hAnsi="Bookman Old Style" w:cs="Times New Roman"/>
          <w:sz w:val="24"/>
          <w:szCs w:val="24"/>
          <w:lang w:val="pt-PT"/>
        </w:rPr>
        <w:t xml:space="preserve"> não possui, em sua cadeia produtiva, empregados submetidos a trabalho degradante ou forçado, observando o disposto nos incisos III e IV do art. 1º e no inciso III do art. 5º da Constituição Federal;</w:t>
      </w:r>
    </w:p>
    <w:p w14:paraId="3F44AFA7" w14:textId="77777777" w:rsidR="00487F26" w:rsidRDefault="00621A1A" w:rsidP="00621A1A">
      <w:pPr>
        <w:spacing w:before="240" w:line="360" w:lineRule="auto"/>
        <w:jc w:val="both"/>
        <w:rPr>
          <w:rFonts w:ascii="Bookman Old Style" w:eastAsia="Times New Roman" w:hAnsi="Bookman Old Style" w:cs="Times New Roman"/>
          <w:sz w:val="24"/>
          <w:szCs w:val="24"/>
          <w:lang w:val="pt-PT"/>
        </w:rPr>
      </w:pPr>
      <w:r w:rsidRPr="00621A1A">
        <w:rPr>
          <w:rFonts w:ascii="Bookman Old Style" w:eastAsia="Times New Roman" w:hAnsi="Bookman Old Style" w:cs="Times New Roman"/>
          <w:b/>
          <w:bCs/>
          <w:sz w:val="24"/>
          <w:szCs w:val="24"/>
          <w:lang w:val="pt-PT"/>
        </w:rPr>
        <w:t>f)</w:t>
      </w:r>
      <w:r w:rsidRPr="00621A1A">
        <w:rPr>
          <w:rFonts w:ascii="Bookman Old Style" w:eastAsia="Times New Roman" w:hAnsi="Bookman Old Style" w:cs="Times New Roman"/>
          <w:sz w:val="24"/>
          <w:szCs w:val="24"/>
          <w:lang w:val="pt-PT"/>
        </w:rPr>
        <w:t xml:space="preserve"> cumpre as exigências de reserva de cargos para pessoa com deficiência e para reabilitado da Previdência Social, previstas em lei e em outras normas específicas, quando aplicável;</w:t>
      </w:r>
    </w:p>
    <w:p w14:paraId="1F0D7AD2" w14:textId="49759793" w:rsidR="00621A1A" w:rsidRPr="00487F26" w:rsidRDefault="00621A1A" w:rsidP="00621A1A">
      <w:pPr>
        <w:spacing w:before="240" w:line="360" w:lineRule="auto"/>
        <w:jc w:val="both"/>
        <w:rPr>
          <w:rFonts w:ascii="Bookman Old Style" w:eastAsia="Times New Roman" w:hAnsi="Bookman Old Style" w:cs="Times New Roman"/>
          <w:sz w:val="28"/>
          <w:szCs w:val="28"/>
          <w:lang w:val="pt-PT"/>
        </w:rPr>
      </w:pPr>
      <w:r w:rsidRPr="00487F26">
        <w:rPr>
          <w:rFonts w:ascii="Bookman Old Style" w:hAnsi="Bookman Old Style"/>
          <w:b/>
          <w:bCs/>
          <w:sz w:val="24"/>
          <w:szCs w:val="24"/>
        </w:rPr>
        <w:t>g)</w:t>
      </w:r>
      <w:r w:rsidRPr="00487F26">
        <w:rPr>
          <w:rFonts w:ascii="Bookman Old Style" w:hAnsi="Bookman Old Style"/>
          <w:sz w:val="24"/>
          <w:szCs w:val="24"/>
        </w:rPr>
        <w:t xml:space="preserv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sua apresentação, além dos demais custos diretos e indiretos necessários ao cumprimento integral do objeto; e</w:t>
      </w:r>
    </w:p>
    <w:p w14:paraId="243B1739" w14:textId="77777777" w:rsidR="00561565" w:rsidRDefault="009A385D">
      <w:pPr>
        <w:spacing w:before="240" w:line="360" w:lineRule="auto"/>
        <w:jc w:val="both"/>
        <w:rPr>
          <w:rFonts w:ascii="Bookman Old Style" w:eastAsia="Times New Roman" w:hAnsi="Bookman Old Style" w:cs="Times New Roman"/>
          <w:sz w:val="24"/>
          <w:szCs w:val="24"/>
          <w:lang w:val="pt-PT"/>
        </w:rPr>
      </w:pPr>
      <w:r w:rsidRPr="00487F26">
        <w:rPr>
          <w:rFonts w:ascii="Bookman Old Style" w:hAnsi="Bookman Old Style"/>
          <w:b/>
          <w:bCs/>
          <w:sz w:val="24"/>
          <w:szCs w:val="24"/>
        </w:rPr>
        <w:t>h)</w:t>
      </w:r>
      <w:r w:rsidRPr="00487F26">
        <w:rPr>
          <w:rFonts w:ascii="Bookman Old Style" w:hAnsi="Bookman Old Style"/>
          <w:sz w:val="24"/>
          <w:szCs w:val="24"/>
        </w:rPr>
        <w:t xml:space="preserve"> cumpre, durante a execução contratual, as obrigações relativas às reservas legais de cargos para pessoa com deficiência, reabilitado da Previdência Social e aprendiz, quando aplicáveis.</w:t>
      </w:r>
    </w:p>
    <w:p w14:paraId="632D7C6A" w14:textId="77777777" w:rsidR="00621A1A" w:rsidRPr="00621A1A" w:rsidRDefault="00621A1A" w:rsidP="00621A1A">
      <w:pPr>
        <w:spacing w:before="240" w:line="360" w:lineRule="auto"/>
        <w:jc w:val="center"/>
        <w:rPr>
          <w:rFonts w:ascii="Bookman Old Style" w:eastAsia="Times New Roman" w:hAnsi="Bookman Old Style" w:cs="Times New Roman"/>
          <w:b/>
          <w:bCs/>
          <w:sz w:val="24"/>
          <w:szCs w:val="24"/>
          <w:lang w:val="pt-PT"/>
        </w:rPr>
      </w:pPr>
      <w:r w:rsidRPr="00621A1A">
        <w:rPr>
          <w:rFonts w:ascii="Bookman Old Style" w:eastAsia="Times New Roman" w:hAnsi="Bookman Old Style" w:cs="Times New Roman"/>
          <w:b/>
          <w:bCs/>
          <w:sz w:val="24"/>
          <w:szCs w:val="24"/>
          <w:highlight w:val="yellow"/>
          <w:lang w:val="pt-PT"/>
        </w:rPr>
        <w:t>[LOCAL]</w:t>
      </w:r>
      <w:r w:rsidRPr="00621A1A">
        <w:rPr>
          <w:rFonts w:ascii="Bookman Old Style" w:eastAsia="Times New Roman" w:hAnsi="Bookman Old Style" w:cs="Times New Roman"/>
          <w:b/>
          <w:bCs/>
          <w:sz w:val="24"/>
          <w:szCs w:val="24"/>
          <w:lang w:val="pt-PT"/>
        </w:rPr>
        <w:t xml:space="preserve">, </w:t>
      </w:r>
      <w:r w:rsidRPr="00621A1A">
        <w:rPr>
          <w:rFonts w:ascii="Bookman Old Style" w:eastAsia="Times New Roman" w:hAnsi="Bookman Old Style" w:cs="Times New Roman"/>
          <w:b/>
          <w:bCs/>
          <w:sz w:val="24"/>
          <w:szCs w:val="24"/>
          <w:highlight w:val="yellow"/>
          <w:lang w:val="pt-PT"/>
        </w:rPr>
        <w:t>[DIA]</w:t>
      </w:r>
      <w:r w:rsidRPr="00621A1A">
        <w:rPr>
          <w:rFonts w:ascii="Bookman Old Style" w:eastAsia="Times New Roman" w:hAnsi="Bookman Old Style" w:cs="Times New Roman"/>
          <w:b/>
          <w:bCs/>
          <w:sz w:val="24"/>
          <w:szCs w:val="24"/>
          <w:lang w:val="pt-PT"/>
        </w:rPr>
        <w:t xml:space="preserve"> de </w:t>
      </w:r>
      <w:r w:rsidRPr="00621A1A">
        <w:rPr>
          <w:rFonts w:ascii="Bookman Old Style" w:eastAsia="Times New Roman" w:hAnsi="Bookman Old Style" w:cs="Times New Roman"/>
          <w:b/>
          <w:bCs/>
          <w:sz w:val="24"/>
          <w:szCs w:val="24"/>
          <w:highlight w:val="yellow"/>
          <w:lang w:val="pt-PT"/>
        </w:rPr>
        <w:t>[MÊS]</w:t>
      </w:r>
      <w:r w:rsidRPr="00621A1A">
        <w:rPr>
          <w:rFonts w:ascii="Bookman Old Style" w:eastAsia="Times New Roman" w:hAnsi="Bookman Old Style" w:cs="Times New Roman"/>
          <w:b/>
          <w:bCs/>
          <w:sz w:val="24"/>
          <w:szCs w:val="24"/>
          <w:lang w:val="pt-PT"/>
        </w:rPr>
        <w:t xml:space="preserve"> de </w:t>
      </w:r>
      <w:r w:rsidRPr="00621A1A">
        <w:rPr>
          <w:rFonts w:ascii="Bookman Old Style" w:eastAsia="Times New Roman" w:hAnsi="Bookman Old Style" w:cs="Times New Roman"/>
          <w:b/>
          <w:bCs/>
          <w:sz w:val="24"/>
          <w:szCs w:val="24"/>
          <w:highlight w:val="yellow"/>
          <w:lang w:val="pt-PT"/>
        </w:rPr>
        <w:t>[ANO]</w:t>
      </w:r>
      <w:r w:rsidRPr="00621A1A">
        <w:rPr>
          <w:rFonts w:ascii="Bookman Old Style" w:eastAsia="Times New Roman" w:hAnsi="Bookman Old Style" w:cs="Times New Roman"/>
          <w:b/>
          <w:bCs/>
          <w:sz w:val="24"/>
          <w:szCs w:val="24"/>
          <w:lang w:val="pt-PT"/>
        </w:rPr>
        <w:t>.</w:t>
      </w:r>
    </w:p>
    <w:p w14:paraId="630ADC33" w14:textId="77777777" w:rsidR="00621A1A" w:rsidRPr="00621A1A" w:rsidRDefault="00621A1A" w:rsidP="00621A1A">
      <w:pPr>
        <w:spacing w:before="240" w:line="360" w:lineRule="auto"/>
        <w:jc w:val="center"/>
        <w:rPr>
          <w:rFonts w:ascii="Bookman Old Style" w:eastAsia="Times New Roman" w:hAnsi="Bookman Old Style" w:cs="Times New Roman"/>
          <w:sz w:val="24"/>
          <w:szCs w:val="24"/>
          <w:lang w:val="pt-PT"/>
        </w:rPr>
      </w:pPr>
    </w:p>
    <w:p w14:paraId="32AE8DBC" w14:textId="77777777" w:rsidR="00621A1A" w:rsidRPr="00621A1A" w:rsidRDefault="00621A1A" w:rsidP="00621A1A">
      <w:pPr>
        <w:spacing w:before="240" w:line="360" w:lineRule="auto"/>
        <w:jc w:val="center"/>
        <w:rPr>
          <w:rFonts w:ascii="Bookman Old Style" w:eastAsia="Times New Roman" w:hAnsi="Bookman Old Style" w:cs="Times New Roman"/>
          <w:sz w:val="24"/>
          <w:szCs w:val="24"/>
          <w:lang w:val="pt-PT"/>
        </w:rPr>
      </w:pPr>
    </w:p>
    <w:p w14:paraId="6D802CC7" w14:textId="77777777" w:rsidR="00621A1A" w:rsidRPr="00621A1A" w:rsidRDefault="00621A1A" w:rsidP="00621A1A">
      <w:pPr>
        <w:spacing w:before="240" w:after="0" w:line="360" w:lineRule="auto"/>
        <w:jc w:val="center"/>
        <w:rPr>
          <w:rFonts w:ascii="Bookman Old Style" w:eastAsia="Times New Roman" w:hAnsi="Bookman Old Style" w:cs="Times New Roman"/>
          <w:b/>
          <w:bCs/>
          <w:sz w:val="24"/>
          <w:szCs w:val="24"/>
          <w:highlight w:val="yellow"/>
          <w:lang w:val="pt-PT"/>
        </w:rPr>
      </w:pPr>
      <w:r w:rsidRPr="00621A1A">
        <w:rPr>
          <w:rFonts w:ascii="Bookman Old Style" w:eastAsia="Times New Roman" w:hAnsi="Bookman Old Style" w:cs="Times New Roman"/>
          <w:b/>
          <w:bCs/>
          <w:sz w:val="24"/>
          <w:szCs w:val="24"/>
          <w:lang w:val="pt-PT"/>
        </w:rPr>
        <w:t>__________________________________________________</w:t>
      </w:r>
    </w:p>
    <w:p w14:paraId="6942B312" w14:textId="77777777" w:rsidR="00621A1A" w:rsidRPr="00621A1A" w:rsidRDefault="00621A1A" w:rsidP="002D6683">
      <w:pPr>
        <w:spacing w:after="0" w:line="360" w:lineRule="auto"/>
        <w:jc w:val="center"/>
        <w:rPr>
          <w:rFonts w:ascii="Bookman Old Style" w:eastAsia="Times New Roman" w:hAnsi="Bookman Old Style" w:cs="Times New Roman"/>
          <w:b/>
          <w:bCs/>
          <w:sz w:val="24"/>
          <w:szCs w:val="24"/>
          <w:lang w:val="pt-PT"/>
        </w:rPr>
      </w:pPr>
      <w:r w:rsidRPr="00621A1A">
        <w:rPr>
          <w:rFonts w:ascii="Bookman Old Style" w:eastAsia="Times New Roman" w:hAnsi="Bookman Old Style" w:cs="Times New Roman"/>
          <w:b/>
          <w:bCs/>
          <w:sz w:val="24"/>
          <w:szCs w:val="24"/>
          <w:highlight w:val="yellow"/>
          <w:lang w:val="pt-PT"/>
        </w:rPr>
        <w:t>[NOME DO REPRESENTANTE LEGAL]</w:t>
      </w:r>
    </w:p>
    <w:p w14:paraId="3EDC9F38" w14:textId="77777777" w:rsidR="00621A1A" w:rsidRPr="00621A1A" w:rsidRDefault="00621A1A" w:rsidP="00621A1A">
      <w:pPr>
        <w:spacing w:after="0" w:line="360" w:lineRule="auto"/>
        <w:jc w:val="center"/>
        <w:rPr>
          <w:rFonts w:ascii="Bookman Old Style" w:eastAsia="Times New Roman" w:hAnsi="Bookman Old Style" w:cs="Times New Roman"/>
          <w:b/>
          <w:bCs/>
          <w:sz w:val="24"/>
          <w:szCs w:val="24"/>
          <w:lang w:val="pt-PT"/>
        </w:rPr>
      </w:pPr>
      <w:r w:rsidRPr="00621A1A">
        <w:rPr>
          <w:rFonts w:ascii="Bookman Old Style" w:eastAsia="Times New Roman" w:hAnsi="Bookman Old Style" w:cs="Times New Roman"/>
          <w:b/>
          <w:bCs/>
          <w:sz w:val="24"/>
          <w:szCs w:val="24"/>
          <w:highlight w:val="yellow"/>
          <w:lang w:val="pt-PT"/>
        </w:rPr>
        <w:t>[CPF: XXX.XXX.XXX-XX]</w:t>
      </w:r>
    </w:p>
    <w:p w14:paraId="0A21A140" w14:textId="77777777" w:rsidR="006259FF" w:rsidRDefault="006259FF" w:rsidP="006259FF">
      <w:pPr>
        <w:rPr>
          <w:rFonts w:ascii="Bookman Old Style" w:eastAsia="Times New Roman" w:hAnsi="Bookman Old Style" w:cs="Times New Roman"/>
          <w:sz w:val="24"/>
          <w:szCs w:val="24"/>
          <w:highlight w:val="yellow"/>
          <w:lang w:val="pt-PT"/>
        </w:rPr>
      </w:pPr>
    </w:p>
    <w:p w14:paraId="0B163D85" w14:textId="77777777" w:rsidR="009A06AE" w:rsidRDefault="009A06AE" w:rsidP="006259FF">
      <w:pPr>
        <w:rPr>
          <w:rFonts w:ascii="Bookman Old Style" w:eastAsia="Times New Roman" w:hAnsi="Bookman Old Style" w:cs="Times New Roman"/>
          <w:sz w:val="24"/>
          <w:szCs w:val="24"/>
          <w:highlight w:val="yellow"/>
          <w:lang w:val="pt-PT"/>
        </w:rPr>
      </w:pPr>
    </w:p>
    <w:p w14:paraId="1EC10E1D" w14:textId="77777777" w:rsidR="00487F26" w:rsidRDefault="00487F26" w:rsidP="006259FF">
      <w:pPr>
        <w:rPr>
          <w:rFonts w:ascii="Bookman Old Style" w:eastAsia="Times New Roman" w:hAnsi="Bookman Old Style" w:cs="Times New Roman"/>
          <w:sz w:val="24"/>
          <w:szCs w:val="24"/>
          <w:highlight w:val="yellow"/>
          <w:lang w:val="pt-PT"/>
        </w:rPr>
      </w:pPr>
    </w:p>
    <w:p w14:paraId="196062B3" w14:textId="77777777" w:rsidR="00487F26" w:rsidRDefault="00487F26" w:rsidP="006259FF">
      <w:pPr>
        <w:rPr>
          <w:rFonts w:ascii="Bookman Old Style" w:eastAsia="Times New Roman" w:hAnsi="Bookman Old Style" w:cs="Times New Roman"/>
          <w:sz w:val="24"/>
          <w:szCs w:val="24"/>
          <w:highlight w:val="yellow"/>
          <w:lang w:val="pt-PT"/>
        </w:rPr>
      </w:pPr>
    </w:p>
    <w:p w14:paraId="0D4F1988" w14:textId="77777777" w:rsidR="00487F26" w:rsidRDefault="00487F26" w:rsidP="006259FF">
      <w:pPr>
        <w:rPr>
          <w:rFonts w:ascii="Bookman Old Style" w:eastAsia="Times New Roman" w:hAnsi="Bookman Old Style" w:cs="Times New Roman"/>
          <w:sz w:val="24"/>
          <w:szCs w:val="24"/>
          <w:highlight w:val="yellow"/>
          <w:lang w:val="pt-PT"/>
        </w:rPr>
      </w:pPr>
    </w:p>
    <w:p w14:paraId="6235ACAE" w14:textId="77777777" w:rsidR="00487F26" w:rsidRDefault="00487F26" w:rsidP="006259FF">
      <w:pPr>
        <w:rPr>
          <w:rFonts w:ascii="Bookman Old Style" w:eastAsia="Times New Roman" w:hAnsi="Bookman Old Style" w:cs="Times New Roman"/>
          <w:sz w:val="24"/>
          <w:szCs w:val="24"/>
          <w:highlight w:val="yellow"/>
          <w:lang w:val="pt-PT"/>
        </w:rPr>
      </w:pPr>
    </w:p>
    <w:p w14:paraId="5374BBDF" w14:textId="77777777" w:rsidR="00487F26" w:rsidRDefault="00487F26" w:rsidP="006259FF">
      <w:pPr>
        <w:rPr>
          <w:rFonts w:ascii="Bookman Old Style" w:eastAsia="Times New Roman" w:hAnsi="Bookman Old Style" w:cs="Times New Roman"/>
          <w:sz w:val="24"/>
          <w:szCs w:val="24"/>
          <w:highlight w:val="yellow"/>
          <w:lang w:val="pt-PT"/>
        </w:rPr>
      </w:pPr>
    </w:p>
    <w:p w14:paraId="13CCB83B" w14:textId="77777777" w:rsidR="00487F26" w:rsidRDefault="00487F26" w:rsidP="006259FF">
      <w:pPr>
        <w:rPr>
          <w:rFonts w:ascii="Bookman Old Style" w:eastAsia="Times New Roman" w:hAnsi="Bookman Old Style" w:cs="Times New Roman"/>
          <w:sz w:val="24"/>
          <w:szCs w:val="24"/>
          <w:highlight w:val="yellow"/>
          <w:lang w:val="pt-PT"/>
        </w:rPr>
      </w:pPr>
    </w:p>
    <w:p w14:paraId="1DEAC11C" w14:textId="77777777" w:rsidR="00487F26" w:rsidRDefault="00487F26" w:rsidP="006259FF">
      <w:pPr>
        <w:rPr>
          <w:rFonts w:ascii="Bookman Old Style" w:eastAsia="Times New Roman" w:hAnsi="Bookman Old Style" w:cs="Times New Roman"/>
          <w:sz w:val="24"/>
          <w:szCs w:val="24"/>
          <w:highlight w:val="yellow"/>
          <w:lang w:val="pt-PT"/>
        </w:rPr>
      </w:pPr>
    </w:p>
    <w:p w14:paraId="41379368" w14:textId="77777777" w:rsidR="00487F26" w:rsidRDefault="00487F26" w:rsidP="006259FF">
      <w:pPr>
        <w:rPr>
          <w:rFonts w:ascii="Bookman Old Style" w:eastAsia="Times New Roman" w:hAnsi="Bookman Old Style" w:cs="Times New Roman"/>
          <w:sz w:val="24"/>
          <w:szCs w:val="24"/>
          <w:highlight w:val="yellow"/>
          <w:lang w:val="pt-PT"/>
        </w:rPr>
      </w:pPr>
    </w:p>
    <w:p w14:paraId="13AF7F5F" w14:textId="77777777" w:rsidR="00487F26" w:rsidRDefault="00487F26" w:rsidP="006259FF">
      <w:pPr>
        <w:rPr>
          <w:rFonts w:ascii="Bookman Old Style" w:eastAsia="Times New Roman" w:hAnsi="Bookman Old Style" w:cs="Times New Roman"/>
          <w:sz w:val="24"/>
          <w:szCs w:val="24"/>
          <w:highlight w:val="yellow"/>
          <w:lang w:val="pt-PT"/>
        </w:rPr>
      </w:pPr>
    </w:p>
    <w:p w14:paraId="3B1CF8E9" w14:textId="77777777" w:rsidR="00487F26" w:rsidRDefault="00487F26" w:rsidP="006259FF">
      <w:pPr>
        <w:rPr>
          <w:rFonts w:ascii="Bookman Old Style" w:eastAsia="Times New Roman" w:hAnsi="Bookman Old Style" w:cs="Times New Roman"/>
          <w:sz w:val="24"/>
          <w:szCs w:val="24"/>
          <w:highlight w:val="yellow"/>
          <w:lang w:val="pt-PT"/>
        </w:rPr>
      </w:pPr>
    </w:p>
    <w:p w14:paraId="644EF669" w14:textId="77777777" w:rsidR="00487F26" w:rsidRDefault="00487F26" w:rsidP="006259FF">
      <w:pPr>
        <w:rPr>
          <w:rFonts w:ascii="Bookman Old Style" w:eastAsia="Times New Roman" w:hAnsi="Bookman Old Style" w:cs="Times New Roman"/>
          <w:sz w:val="24"/>
          <w:szCs w:val="24"/>
          <w:highlight w:val="yellow"/>
          <w:lang w:val="pt-PT"/>
        </w:rPr>
      </w:pPr>
    </w:p>
    <w:p w14:paraId="4DF8F20F" w14:textId="77777777" w:rsidR="00487F26" w:rsidRDefault="00487F26" w:rsidP="006259FF">
      <w:pPr>
        <w:rPr>
          <w:rFonts w:ascii="Bookman Old Style" w:eastAsia="Times New Roman" w:hAnsi="Bookman Old Style" w:cs="Times New Roman"/>
          <w:sz w:val="24"/>
          <w:szCs w:val="24"/>
          <w:highlight w:val="yellow"/>
          <w:lang w:val="pt-PT"/>
        </w:rPr>
      </w:pPr>
    </w:p>
    <w:p w14:paraId="4FAFC838" w14:textId="7FC17E1C" w:rsidR="009A06AE" w:rsidRPr="009A06AE" w:rsidRDefault="009A06AE" w:rsidP="009A06AE">
      <w:pPr>
        <w:keepNext/>
        <w:keepLines/>
        <w:shd w:val="clear" w:color="auto" w:fill="D9D9D9" w:themeFill="background1" w:themeFillShade="D9"/>
        <w:spacing w:before="480" w:after="480" w:line="360" w:lineRule="auto"/>
        <w:jc w:val="both"/>
        <w:outlineLvl w:val="0"/>
        <w:rPr>
          <w:rFonts w:ascii="Bookman Old Style" w:eastAsiaTheme="majorEastAsia" w:hAnsi="Bookman Old Style" w:cstheme="majorBidi"/>
          <w:b/>
          <w:bCs/>
          <w:color w:val="000000"/>
          <w:sz w:val="24"/>
          <w:szCs w:val="24"/>
        </w:rPr>
      </w:pPr>
      <w:r w:rsidRPr="009A06AE">
        <w:rPr>
          <w:rFonts w:ascii="Bookman Old Style" w:eastAsiaTheme="majorEastAsia" w:hAnsi="Bookman Old Style" w:cstheme="majorBidi"/>
          <w:b/>
          <w:bCs/>
          <w:color w:val="000000"/>
          <w:sz w:val="24"/>
          <w:szCs w:val="24"/>
        </w:rPr>
        <w:lastRenderedPageBreak/>
        <w:t>ANEXO I</w:t>
      </w:r>
      <w:r w:rsidR="00FA2831">
        <w:rPr>
          <w:rFonts w:ascii="Bookman Old Style" w:eastAsiaTheme="majorEastAsia" w:hAnsi="Bookman Old Style" w:cstheme="majorBidi"/>
          <w:b/>
          <w:bCs/>
          <w:color w:val="000000"/>
          <w:sz w:val="24"/>
          <w:szCs w:val="24"/>
        </w:rPr>
        <w:t>V</w:t>
      </w:r>
      <w:r w:rsidRPr="009A06AE">
        <w:rPr>
          <w:rFonts w:ascii="Bookman Old Style" w:eastAsiaTheme="majorEastAsia" w:hAnsi="Bookman Old Style" w:cstheme="majorBidi"/>
          <w:b/>
          <w:bCs/>
          <w:color w:val="000000"/>
          <w:sz w:val="24"/>
          <w:szCs w:val="24"/>
        </w:rPr>
        <w:t xml:space="preserve"> – MINUTA DE CONTRATO ADMINISTRATIVO</w:t>
      </w:r>
    </w:p>
    <w:p w14:paraId="25A0FF10" w14:textId="77777777" w:rsidR="009A06AE" w:rsidRPr="009A06AE" w:rsidRDefault="009A06AE" w:rsidP="009A06AE">
      <w:pPr>
        <w:spacing w:before="480" w:after="0" w:line="360" w:lineRule="auto"/>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 xml:space="preserve">CONTRATO ADMINISTRATIVO Nº </w:t>
      </w:r>
      <w:r w:rsidRPr="009A06AE">
        <w:rPr>
          <w:rFonts w:ascii="Bookman Old Style" w:eastAsia="Times New Roman" w:hAnsi="Bookman Old Style"/>
          <w:b/>
          <w:bCs/>
          <w:sz w:val="24"/>
          <w:szCs w:val="24"/>
          <w:highlight w:val="yellow"/>
        </w:rPr>
        <w:t>[</w:t>
      </w:r>
      <w:proofErr w:type="gramStart"/>
      <w:r w:rsidRPr="009A06AE">
        <w:rPr>
          <w:rFonts w:ascii="Bookman Old Style" w:eastAsia="Times New Roman" w:hAnsi="Bookman Old Style"/>
          <w:b/>
          <w:bCs/>
          <w:sz w:val="24"/>
          <w:szCs w:val="24"/>
          <w:highlight w:val="yellow"/>
        </w:rPr>
        <w:t>●]</w:t>
      </w:r>
      <w:r w:rsidRPr="009A06AE">
        <w:rPr>
          <w:rFonts w:ascii="Bookman Old Style" w:eastAsia="Times New Roman" w:hAnsi="Bookman Old Style"/>
          <w:b/>
          <w:bCs/>
          <w:sz w:val="24"/>
          <w:szCs w:val="24"/>
        </w:rPr>
        <w:t>/</w:t>
      </w:r>
      <w:proofErr w:type="gramEnd"/>
      <w:r w:rsidRPr="009A06AE">
        <w:rPr>
          <w:rFonts w:ascii="Bookman Old Style" w:eastAsia="Times New Roman" w:hAnsi="Bookman Old Style"/>
          <w:b/>
          <w:bCs/>
          <w:sz w:val="24"/>
          <w:szCs w:val="24"/>
        </w:rPr>
        <w:t>2026</w:t>
      </w:r>
    </w:p>
    <w:p w14:paraId="2C65BFD0" w14:textId="25C8860A" w:rsidR="009A06AE" w:rsidRPr="009A06AE" w:rsidRDefault="009A06AE" w:rsidP="009A06AE">
      <w:pPr>
        <w:spacing w:after="0" w:line="360" w:lineRule="auto"/>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 xml:space="preserve">PROCESSO ADMINISTRATIVO Nº </w:t>
      </w:r>
      <w:r w:rsidR="0026231F">
        <w:rPr>
          <w:rFonts w:ascii="Bookman Old Style" w:eastAsia="Times New Roman" w:hAnsi="Bookman Old Style"/>
          <w:b/>
          <w:bCs/>
          <w:sz w:val="24"/>
          <w:szCs w:val="24"/>
        </w:rPr>
        <w:t>36</w:t>
      </w:r>
      <w:r w:rsidRPr="009A06AE">
        <w:rPr>
          <w:rFonts w:ascii="Bookman Old Style" w:eastAsia="Times New Roman" w:hAnsi="Bookman Old Style"/>
          <w:b/>
          <w:bCs/>
          <w:sz w:val="24"/>
          <w:szCs w:val="24"/>
        </w:rPr>
        <w:t>/2026</w:t>
      </w:r>
    </w:p>
    <w:p w14:paraId="567C4E7A" w14:textId="37ED7570" w:rsidR="009A06AE" w:rsidRPr="009A06AE" w:rsidRDefault="009A06AE" w:rsidP="009A06AE">
      <w:pPr>
        <w:spacing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DISPENSA DE LICITAÇÃO Nº </w:t>
      </w:r>
      <w:r w:rsidR="0026231F">
        <w:rPr>
          <w:rFonts w:ascii="Bookman Old Style" w:eastAsia="Times New Roman" w:hAnsi="Bookman Old Style"/>
          <w:b/>
          <w:bCs/>
          <w:sz w:val="24"/>
          <w:szCs w:val="24"/>
        </w:rPr>
        <w:t>17</w:t>
      </w:r>
      <w:r w:rsidRPr="009A06AE">
        <w:rPr>
          <w:rFonts w:ascii="Bookman Old Style" w:eastAsia="Times New Roman" w:hAnsi="Bookman Old Style"/>
          <w:b/>
          <w:bCs/>
          <w:sz w:val="24"/>
          <w:szCs w:val="24"/>
        </w:rPr>
        <w:t>/2026</w:t>
      </w:r>
    </w:p>
    <w:p w14:paraId="79DB75D5" w14:textId="268453A1"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Pelo presente instrumento, de um lado, o </w:t>
      </w:r>
      <w:r w:rsidRPr="009A06AE">
        <w:rPr>
          <w:rFonts w:ascii="Bookman Old Style" w:eastAsia="Times New Roman" w:hAnsi="Bookman Old Style"/>
          <w:b/>
          <w:bCs/>
          <w:sz w:val="24"/>
          <w:szCs w:val="24"/>
        </w:rPr>
        <w:t>MUNICÍPIO DE ORINDIÚVA</w:t>
      </w:r>
      <w:r w:rsidRPr="009A06AE">
        <w:rPr>
          <w:rFonts w:ascii="Bookman Old Style" w:eastAsia="Times New Roman" w:hAnsi="Bookman Old Style"/>
          <w:sz w:val="24"/>
          <w:szCs w:val="24"/>
        </w:rPr>
        <w:t xml:space="preserve">, pessoa jurídica de direito público interno, inscrito no CNPJ sob nº 45.148.970/0001-77, com sede administrativa na Praça Maria Dias, nº 614, Centro, Orindiúva, Estado de São Paulo, CEP 15.480-007, neste ato representado por </w:t>
      </w:r>
      <w:r w:rsidRPr="009A06AE">
        <w:rPr>
          <w:rFonts w:ascii="Bookman Old Style" w:eastAsia="Times New Roman" w:hAnsi="Bookman Old Style"/>
          <w:b/>
          <w:bCs/>
          <w:sz w:val="24"/>
          <w:szCs w:val="24"/>
          <w:highlight w:val="yellow"/>
        </w:rPr>
        <w:t>[AUTORIDADE COMPETENTE]</w:t>
      </w:r>
      <w:r w:rsidRPr="009A06AE">
        <w:rPr>
          <w:rFonts w:ascii="Bookman Old Style" w:eastAsia="Times New Roman" w:hAnsi="Bookman Old Style"/>
          <w:sz w:val="24"/>
          <w:szCs w:val="24"/>
        </w:rPr>
        <w:t xml:space="preserve">, </w:t>
      </w:r>
      <w:r w:rsidRPr="009A06AE">
        <w:rPr>
          <w:rFonts w:ascii="Bookman Old Style" w:eastAsia="Times New Roman" w:hAnsi="Bookman Old Style"/>
          <w:sz w:val="24"/>
          <w:szCs w:val="24"/>
          <w:highlight w:val="yellow"/>
        </w:rPr>
        <w:t>[qualificação]</w:t>
      </w:r>
      <w:r w:rsidRPr="009A06AE">
        <w:rPr>
          <w:rFonts w:ascii="Bookman Old Style" w:eastAsia="Times New Roman" w:hAnsi="Bookman Old Style"/>
          <w:sz w:val="24"/>
          <w:szCs w:val="24"/>
        </w:rPr>
        <w:t xml:space="preserve">, doravante denominada simplesmente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e, de outro lado, a empresa </w:t>
      </w:r>
      <w:r w:rsidRPr="009A06AE">
        <w:rPr>
          <w:rFonts w:ascii="Bookman Old Style" w:eastAsia="Times New Roman" w:hAnsi="Bookman Old Style"/>
          <w:b/>
          <w:bCs/>
          <w:sz w:val="24"/>
          <w:szCs w:val="24"/>
          <w:highlight w:val="yellow"/>
        </w:rPr>
        <w:t>[RAZÃO SOCIAL]</w:t>
      </w:r>
      <w:r w:rsidRPr="009A06AE">
        <w:rPr>
          <w:rFonts w:ascii="Bookman Old Style" w:eastAsia="Times New Roman" w:hAnsi="Bookman Old Style"/>
          <w:sz w:val="24"/>
          <w:szCs w:val="24"/>
        </w:rPr>
        <w:t xml:space="preserve">, inscrita no CNPJ sob nº </w:t>
      </w:r>
      <w:r w:rsidRPr="009A06AE">
        <w:rPr>
          <w:rFonts w:ascii="Bookman Old Style" w:eastAsia="Times New Roman" w:hAnsi="Bookman Old Style"/>
          <w:sz w:val="24"/>
          <w:szCs w:val="24"/>
          <w:highlight w:val="yellow"/>
        </w:rPr>
        <w:t>[●]</w:t>
      </w:r>
      <w:r w:rsidRPr="009A06AE">
        <w:rPr>
          <w:rFonts w:ascii="Bookman Old Style" w:eastAsia="Times New Roman" w:hAnsi="Bookman Old Style"/>
          <w:sz w:val="24"/>
          <w:szCs w:val="24"/>
        </w:rPr>
        <w:t xml:space="preserve">, Inscrição Estadual nº </w:t>
      </w:r>
      <w:r w:rsidRPr="009A06AE">
        <w:rPr>
          <w:rFonts w:ascii="Bookman Old Style" w:eastAsia="Times New Roman" w:hAnsi="Bookman Old Style"/>
          <w:sz w:val="24"/>
          <w:szCs w:val="24"/>
          <w:highlight w:val="yellow"/>
        </w:rPr>
        <w:t>[●]</w:t>
      </w:r>
      <w:r w:rsidRPr="009A06AE">
        <w:rPr>
          <w:rFonts w:ascii="Bookman Old Style" w:eastAsia="Times New Roman" w:hAnsi="Bookman Old Style"/>
          <w:sz w:val="24"/>
          <w:szCs w:val="24"/>
        </w:rPr>
        <w:t xml:space="preserve">, Inscrição Municipal na cidade de </w:t>
      </w:r>
      <w:r w:rsidRPr="009A06AE">
        <w:rPr>
          <w:rFonts w:ascii="Bookman Old Style" w:eastAsia="Times New Roman" w:hAnsi="Bookman Old Style"/>
          <w:sz w:val="24"/>
          <w:szCs w:val="24"/>
          <w:highlight w:val="yellow"/>
        </w:rPr>
        <w:t>[Cidade/UF]</w:t>
      </w:r>
      <w:r w:rsidRPr="009A06AE">
        <w:rPr>
          <w:rFonts w:ascii="Bookman Old Style" w:eastAsia="Times New Roman" w:hAnsi="Bookman Old Style"/>
          <w:sz w:val="24"/>
          <w:szCs w:val="24"/>
        </w:rPr>
        <w:t xml:space="preserve">, sob o nº </w:t>
      </w:r>
      <w:r w:rsidRPr="009A06AE">
        <w:rPr>
          <w:rFonts w:ascii="Bookman Old Style" w:eastAsia="Times New Roman" w:hAnsi="Bookman Old Style"/>
          <w:sz w:val="24"/>
          <w:szCs w:val="24"/>
          <w:highlight w:val="yellow"/>
        </w:rPr>
        <w:t>[●]</w:t>
      </w:r>
      <w:r w:rsidRPr="009A06AE">
        <w:rPr>
          <w:rFonts w:ascii="Bookman Old Style" w:eastAsia="Times New Roman" w:hAnsi="Bookman Old Style"/>
          <w:sz w:val="24"/>
          <w:szCs w:val="24"/>
        </w:rPr>
        <w:t xml:space="preserve">, com sede à </w:t>
      </w:r>
      <w:r w:rsidRPr="009A06AE">
        <w:rPr>
          <w:rFonts w:ascii="Bookman Old Style" w:eastAsia="Times New Roman" w:hAnsi="Bookman Old Style"/>
          <w:sz w:val="24"/>
          <w:szCs w:val="24"/>
          <w:highlight w:val="yellow"/>
        </w:rPr>
        <w:t>[endereço completo]</w:t>
      </w:r>
      <w:r w:rsidRPr="009A06AE">
        <w:rPr>
          <w:rFonts w:ascii="Bookman Old Style" w:eastAsia="Times New Roman" w:hAnsi="Bookman Old Style"/>
          <w:sz w:val="24"/>
          <w:szCs w:val="24"/>
        </w:rPr>
        <w:t xml:space="preserve">, e-mail </w:t>
      </w:r>
      <w:r w:rsidRPr="009A06AE">
        <w:rPr>
          <w:rFonts w:ascii="Bookman Old Style" w:eastAsia="Times New Roman" w:hAnsi="Bookman Old Style"/>
          <w:sz w:val="24"/>
          <w:szCs w:val="24"/>
          <w:highlight w:val="yellow"/>
        </w:rPr>
        <w:t>[●]</w:t>
      </w:r>
      <w:r w:rsidRPr="009A06AE">
        <w:rPr>
          <w:rFonts w:ascii="Bookman Old Style" w:eastAsia="Times New Roman" w:hAnsi="Bookman Old Style"/>
          <w:sz w:val="24"/>
          <w:szCs w:val="24"/>
        </w:rPr>
        <w:t xml:space="preserve">, telefone </w:t>
      </w:r>
      <w:r w:rsidRPr="009A06AE">
        <w:rPr>
          <w:rFonts w:ascii="Bookman Old Style" w:eastAsia="Times New Roman" w:hAnsi="Bookman Old Style"/>
          <w:sz w:val="24"/>
          <w:szCs w:val="24"/>
          <w:highlight w:val="yellow"/>
        </w:rPr>
        <w:t>[●]</w:t>
      </w:r>
      <w:r w:rsidRPr="009A06AE">
        <w:rPr>
          <w:rFonts w:ascii="Bookman Old Style" w:eastAsia="Times New Roman" w:hAnsi="Bookman Old Style"/>
          <w:sz w:val="24"/>
          <w:szCs w:val="24"/>
        </w:rPr>
        <w:t xml:space="preserve">, neste ato representada por </w:t>
      </w:r>
      <w:r w:rsidRPr="009A06AE">
        <w:rPr>
          <w:rFonts w:ascii="Bookman Old Style" w:eastAsia="Times New Roman" w:hAnsi="Bookman Old Style"/>
          <w:b/>
          <w:bCs/>
          <w:sz w:val="24"/>
          <w:szCs w:val="24"/>
          <w:highlight w:val="yellow"/>
        </w:rPr>
        <w:t>[NOME]</w:t>
      </w:r>
      <w:r w:rsidRPr="009A06AE">
        <w:rPr>
          <w:rFonts w:ascii="Bookman Old Style" w:eastAsia="Times New Roman" w:hAnsi="Bookman Old Style"/>
          <w:sz w:val="24"/>
          <w:szCs w:val="24"/>
        </w:rPr>
        <w:t xml:space="preserve">, </w:t>
      </w:r>
      <w:r w:rsidRPr="009A06AE">
        <w:rPr>
          <w:rFonts w:ascii="Bookman Old Style" w:eastAsia="Times New Roman" w:hAnsi="Bookman Old Style"/>
          <w:sz w:val="24"/>
          <w:szCs w:val="24"/>
          <w:highlight w:val="yellow"/>
        </w:rPr>
        <w:t>[qualificação]</w:t>
      </w:r>
      <w:r w:rsidRPr="009A06AE">
        <w:rPr>
          <w:rFonts w:ascii="Bookman Old Style" w:eastAsia="Times New Roman" w:hAnsi="Bookman Old Style"/>
          <w:sz w:val="24"/>
          <w:szCs w:val="24"/>
        </w:rPr>
        <w:t xml:space="preserve">, doravante denominada simplesmente,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resolvem celebrar o presente contrato administrativo, decorrente da Dispensa de Licitação nº </w:t>
      </w:r>
      <w:r w:rsidR="0026231F">
        <w:rPr>
          <w:rFonts w:ascii="Bookman Old Style" w:eastAsia="Times New Roman" w:hAnsi="Bookman Old Style"/>
          <w:sz w:val="24"/>
          <w:szCs w:val="24"/>
        </w:rPr>
        <w:t>17</w:t>
      </w:r>
      <w:r w:rsidRPr="009A06AE">
        <w:rPr>
          <w:rFonts w:ascii="Bookman Old Style" w:eastAsia="Times New Roman" w:hAnsi="Bookman Old Style"/>
          <w:sz w:val="24"/>
          <w:szCs w:val="24"/>
        </w:rPr>
        <w:t>/2026, em conformidade com a Lei Federal nº 14.133/2021, com o Decreto Municipal nº 1.933/2024 e demais normas aplicáveis, mediante as cláusulas e condições seguintes:</w:t>
      </w:r>
    </w:p>
    <w:p w14:paraId="73447293"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lastRenderedPageBreak/>
        <w:t>CLÁUSULA PRIMEIRA – DO OBJETO</w:t>
      </w:r>
    </w:p>
    <w:p w14:paraId="23EC5788"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1.1.</w:t>
      </w:r>
      <w:r w:rsidRPr="009A06AE">
        <w:rPr>
          <w:rFonts w:ascii="Bookman Old Style" w:eastAsia="Times New Roman" w:hAnsi="Bookman Old Style"/>
          <w:sz w:val="24"/>
          <w:szCs w:val="24"/>
        </w:rPr>
        <w:t xml:space="preserve"> O presente contrato tem por objeto a </w:t>
      </w:r>
      <w:r w:rsidRPr="009A06AE">
        <w:rPr>
          <w:rFonts w:ascii="Bookman Old Style" w:eastAsia="Times New Roman" w:hAnsi="Bookman Old Style"/>
          <w:b/>
          <w:bCs/>
          <w:i/>
          <w:iCs/>
          <w:sz w:val="24"/>
          <w:szCs w:val="24"/>
        </w:rPr>
        <w:t>CONTRATAÇÃO DE EMPRESA PARA PRESTAÇÃO DE SERVIÇOS COMUNS DE APOIO TÉCNICO-CONTÁBIL, ASSISTÊNCIA E ORIENTAÇÃO OPERACIONAL AO DEPARTAMENTO DE CONTABILIDADE, COMPREENDENDO O APOIO À ELABORAÇÃO, CONFERÊNCIA E VALIDAÇÃO DAS DEMONSTRAÇÕES CONTÁBEIS DO MUNICÍPIO, BEM COMO A GERAÇÃO, CONFERÊNCIA, CORREÇÃO E REMESSA DE DADOS INFORMATIZADOS AO TRIBUNAL DE CONTAS DO ESTADO DE SÃO PAULO – TCE/SP, RELATIVOS AO PROJETO AUDESP, FASES 1 E 2, COM EXECUÇÃO CONTINUADA E SEM DEDICAÇÃO EXCLUSIVA DE MÃO DE OBRA</w:t>
      </w:r>
      <w:r w:rsidRPr="009A06AE">
        <w:rPr>
          <w:rFonts w:ascii="Bookman Old Style" w:eastAsia="Times New Roman" w:hAnsi="Bookman Old Style"/>
          <w:sz w:val="24"/>
          <w:szCs w:val="24"/>
        </w:rPr>
        <w:t xml:space="preserve">, conforme condições, especificações, quantidades, níveis de serviço e demais exigências constantes do Termo de Referência e da proposta da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w:t>
      </w:r>
    </w:p>
    <w:p w14:paraId="3CE6C610" w14:textId="77777777" w:rsidR="009A06AE" w:rsidRPr="009A06AE" w:rsidRDefault="009A06AE" w:rsidP="009A06AE">
      <w:pPr>
        <w:spacing w:before="480" w:after="480" w:line="360" w:lineRule="auto"/>
        <w:ind w:firstLine="1134"/>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1.2.</w:t>
      </w:r>
      <w:r w:rsidRPr="009A06AE">
        <w:rPr>
          <w:rFonts w:ascii="Bookman Old Style" w:eastAsia="Times New Roman" w:hAnsi="Bookman Old Style"/>
          <w:sz w:val="24"/>
          <w:szCs w:val="24"/>
        </w:rPr>
        <w:t xml:space="preserve"> Integram e vinculam este contrato, independentemente de transcrição:</w:t>
      </w:r>
    </w:p>
    <w:p w14:paraId="7C491C7D" w14:textId="77777777" w:rsidR="009A06AE" w:rsidRPr="009A06AE" w:rsidRDefault="009A06AE" w:rsidP="009A06AE">
      <w:pPr>
        <w:spacing w:before="480" w:after="480" w:line="360" w:lineRule="auto"/>
        <w:ind w:firstLine="1134"/>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I –</w:t>
      </w:r>
      <w:r w:rsidRPr="009A06AE">
        <w:rPr>
          <w:rFonts w:ascii="Bookman Old Style" w:eastAsia="Times New Roman" w:hAnsi="Bookman Old Style"/>
          <w:sz w:val="24"/>
          <w:szCs w:val="24"/>
        </w:rPr>
        <w:t xml:space="preserve"> </w:t>
      </w:r>
      <w:proofErr w:type="gramStart"/>
      <w:r w:rsidRPr="009A06AE">
        <w:rPr>
          <w:rFonts w:ascii="Bookman Old Style" w:eastAsia="Times New Roman" w:hAnsi="Bookman Old Style"/>
          <w:sz w:val="24"/>
          <w:szCs w:val="24"/>
        </w:rPr>
        <w:t>o</w:t>
      </w:r>
      <w:proofErr w:type="gramEnd"/>
      <w:r w:rsidRPr="009A06AE">
        <w:rPr>
          <w:rFonts w:ascii="Bookman Old Style" w:eastAsia="Times New Roman" w:hAnsi="Bookman Old Style"/>
          <w:sz w:val="24"/>
          <w:szCs w:val="24"/>
        </w:rPr>
        <w:t xml:space="preserve"> Termo de Referência;</w:t>
      </w:r>
    </w:p>
    <w:p w14:paraId="1BD6EEF5" w14:textId="77777777" w:rsidR="009A06AE" w:rsidRPr="009A06AE" w:rsidRDefault="009A06AE" w:rsidP="009A06AE">
      <w:pPr>
        <w:spacing w:before="480" w:after="480" w:line="360" w:lineRule="auto"/>
        <w:ind w:firstLine="1134"/>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II –</w:t>
      </w:r>
      <w:r w:rsidRPr="009A06AE">
        <w:rPr>
          <w:rFonts w:ascii="Bookman Old Style" w:eastAsia="Times New Roman" w:hAnsi="Bookman Old Style"/>
          <w:sz w:val="24"/>
          <w:szCs w:val="24"/>
        </w:rPr>
        <w:t xml:space="preserve"> </w:t>
      </w:r>
      <w:proofErr w:type="gramStart"/>
      <w:r w:rsidRPr="009A06AE">
        <w:rPr>
          <w:rFonts w:ascii="Bookman Old Style" w:eastAsia="Times New Roman" w:hAnsi="Bookman Old Style"/>
          <w:sz w:val="24"/>
          <w:szCs w:val="24"/>
        </w:rPr>
        <w:t>o</w:t>
      </w:r>
      <w:proofErr w:type="gramEnd"/>
      <w:r w:rsidRPr="009A06AE">
        <w:rPr>
          <w:rFonts w:ascii="Bookman Old Style" w:eastAsia="Times New Roman" w:hAnsi="Bookman Old Style"/>
          <w:sz w:val="24"/>
          <w:szCs w:val="24"/>
        </w:rPr>
        <w:t xml:space="preserve"> aviso de contratação direta e seus anexos, quando houver;</w:t>
      </w:r>
    </w:p>
    <w:p w14:paraId="1F99F71C"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III –</w:t>
      </w:r>
      <w:r w:rsidRPr="009A06AE">
        <w:rPr>
          <w:rFonts w:ascii="Bookman Old Style" w:eastAsia="Times New Roman" w:hAnsi="Bookman Old Style"/>
          <w:sz w:val="24"/>
          <w:szCs w:val="24"/>
        </w:rPr>
        <w:t xml:space="preserve"> o ato que autorizou a contratação direta;</w:t>
      </w:r>
    </w:p>
    <w:p w14:paraId="70A9B94C" w14:textId="77777777" w:rsidR="009A06AE" w:rsidRPr="009A06AE" w:rsidRDefault="009A06AE" w:rsidP="009A06AE">
      <w:pPr>
        <w:spacing w:before="480" w:after="480" w:line="360" w:lineRule="auto"/>
        <w:ind w:firstLine="1134"/>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lastRenderedPageBreak/>
        <w:t>IV –</w:t>
      </w:r>
      <w:r w:rsidRPr="009A06AE">
        <w:rPr>
          <w:rFonts w:ascii="Bookman Old Style" w:eastAsia="Times New Roman" w:hAnsi="Bookman Old Style"/>
          <w:sz w:val="24"/>
          <w:szCs w:val="24"/>
        </w:rPr>
        <w:t xml:space="preserve"> </w:t>
      </w:r>
      <w:proofErr w:type="gramStart"/>
      <w:r w:rsidRPr="009A06AE">
        <w:rPr>
          <w:rFonts w:ascii="Bookman Old Style" w:eastAsia="Times New Roman" w:hAnsi="Bookman Old Style"/>
          <w:sz w:val="24"/>
          <w:szCs w:val="24"/>
        </w:rPr>
        <w:t>a</w:t>
      </w:r>
      <w:proofErr w:type="gramEnd"/>
      <w:r w:rsidRPr="009A06AE">
        <w:rPr>
          <w:rFonts w:ascii="Bookman Old Style" w:eastAsia="Times New Roman" w:hAnsi="Bookman Old Style"/>
          <w:sz w:val="24"/>
          <w:szCs w:val="24"/>
        </w:rPr>
        <w:t xml:space="preserve"> proposta da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w:t>
      </w:r>
    </w:p>
    <w:p w14:paraId="3A36876E"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V –</w:t>
      </w:r>
      <w:r w:rsidRPr="009A06AE">
        <w:rPr>
          <w:rFonts w:ascii="Bookman Old Style" w:eastAsia="Times New Roman" w:hAnsi="Bookman Old Style"/>
          <w:sz w:val="24"/>
          <w:szCs w:val="24"/>
        </w:rPr>
        <w:t xml:space="preserve"> </w:t>
      </w:r>
      <w:proofErr w:type="gramStart"/>
      <w:r w:rsidRPr="009A06AE">
        <w:rPr>
          <w:rFonts w:ascii="Bookman Old Style" w:eastAsia="Times New Roman" w:hAnsi="Bookman Old Style"/>
          <w:sz w:val="24"/>
          <w:szCs w:val="24"/>
        </w:rPr>
        <w:t>eventuais</w:t>
      </w:r>
      <w:proofErr w:type="gramEnd"/>
      <w:r w:rsidRPr="009A06AE">
        <w:rPr>
          <w:rFonts w:ascii="Bookman Old Style" w:eastAsia="Times New Roman" w:hAnsi="Bookman Old Style"/>
          <w:sz w:val="24"/>
          <w:szCs w:val="24"/>
        </w:rPr>
        <w:t xml:space="preserve"> ordens de serviço, planilhas, cronogramas, anexos técnicos e demais documentos do processo.</w:t>
      </w:r>
    </w:p>
    <w:p w14:paraId="58F65350" w14:textId="77777777" w:rsidR="009A06AE" w:rsidRPr="009A06AE" w:rsidRDefault="009A06AE" w:rsidP="009A06AE">
      <w:pPr>
        <w:spacing w:before="480" w:after="480" w:line="360" w:lineRule="auto"/>
        <w:ind w:firstLine="1134"/>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1.3.</w:t>
      </w:r>
      <w:r w:rsidRPr="009A06AE">
        <w:rPr>
          <w:rFonts w:ascii="Bookman Old Style" w:eastAsia="Times New Roman" w:hAnsi="Bookman Old Style"/>
          <w:sz w:val="24"/>
          <w:szCs w:val="24"/>
        </w:rPr>
        <w:t xml:space="preserve"> Em caso de divergência entre os documentos da contratação, prevalecerá a seguinte ordem:</w:t>
      </w:r>
    </w:p>
    <w:p w14:paraId="7CE7016B" w14:textId="77777777" w:rsidR="009A06AE" w:rsidRPr="009A06AE" w:rsidRDefault="009A06AE" w:rsidP="009A06AE">
      <w:pPr>
        <w:spacing w:before="480" w:after="480" w:line="360" w:lineRule="auto"/>
        <w:ind w:firstLine="1134"/>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I –</w:t>
      </w:r>
      <w:r w:rsidRPr="009A06AE">
        <w:rPr>
          <w:rFonts w:ascii="Bookman Old Style" w:eastAsia="Times New Roman" w:hAnsi="Bookman Old Style"/>
          <w:sz w:val="24"/>
          <w:szCs w:val="24"/>
        </w:rPr>
        <w:t xml:space="preserve"> </w:t>
      </w:r>
      <w:proofErr w:type="gramStart"/>
      <w:r w:rsidRPr="009A06AE">
        <w:rPr>
          <w:rFonts w:ascii="Bookman Old Style" w:eastAsia="Times New Roman" w:hAnsi="Bookman Old Style"/>
          <w:sz w:val="24"/>
          <w:szCs w:val="24"/>
        </w:rPr>
        <w:t>este</w:t>
      </w:r>
      <w:proofErr w:type="gramEnd"/>
      <w:r w:rsidRPr="009A06AE">
        <w:rPr>
          <w:rFonts w:ascii="Bookman Old Style" w:eastAsia="Times New Roman" w:hAnsi="Bookman Old Style"/>
          <w:sz w:val="24"/>
          <w:szCs w:val="24"/>
        </w:rPr>
        <w:t xml:space="preserve"> contrato;</w:t>
      </w:r>
    </w:p>
    <w:p w14:paraId="452E7283" w14:textId="77777777" w:rsidR="009A06AE" w:rsidRPr="009A06AE" w:rsidRDefault="009A06AE" w:rsidP="009A06AE">
      <w:pPr>
        <w:spacing w:before="480" w:after="480" w:line="360" w:lineRule="auto"/>
        <w:ind w:firstLine="1134"/>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II –</w:t>
      </w:r>
      <w:r w:rsidRPr="009A06AE">
        <w:rPr>
          <w:rFonts w:ascii="Bookman Old Style" w:eastAsia="Times New Roman" w:hAnsi="Bookman Old Style"/>
          <w:sz w:val="24"/>
          <w:szCs w:val="24"/>
        </w:rPr>
        <w:t xml:space="preserve"> </w:t>
      </w:r>
      <w:proofErr w:type="gramStart"/>
      <w:r w:rsidRPr="009A06AE">
        <w:rPr>
          <w:rFonts w:ascii="Bookman Old Style" w:eastAsia="Times New Roman" w:hAnsi="Bookman Old Style"/>
          <w:sz w:val="24"/>
          <w:szCs w:val="24"/>
        </w:rPr>
        <w:t>o</w:t>
      </w:r>
      <w:proofErr w:type="gramEnd"/>
      <w:r w:rsidRPr="009A06AE">
        <w:rPr>
          <w:rFonts w:ascii="Bookman Old Style" w:eastAsia="Times New Roman" w:hAnsi="Bookman Old Style"/>
          <w:sz w:val="24"/>
          <w:szCs w:val="24"/>
        </w:rPr>
        <w:t xml:space="preserve"> Termo de Referência;</w:t>
      </w:r>
    </w:p>
    <w:p w14:paraId="21EBE32F" w14:textId="77777777" w:rsidR="009A06AE" w:rsidRPr="009A06AE" w:rsidRDefault="009A06AE" w:rsidP="009A06AE">
      <w:pPr>
        <w:spacing w:before="480" w:after="480" w:line="360" w:lineRule="auto"/>
        <w:ind w:firstLine="1134"/>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III –</w:t>
      </w:r>
      <w:r w:rsidRPr="009A06AE">
        <w:rPr>
          <w:rFonts w:ascii="Bookman Old Style" w:eastAsia="Times New Roman" w:hAnsi="Bookman Old Style"/>
          <w:sz w:val="24"/>
          <w:szCs w:val="24"/>
        </w:rPr>
        <w:t xml:space="preserve"> o aviso de contratação direta ou o ato autorizativo da contratação direta;</w:t>
      </w:r>
    </w:p>
    <w:p w14:paraId="71774283"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IV –</w:t>
      </w:r>
      <w:r w:rsidRPr="009A06AE">
        <w:rPr>
          <w:rFonts w:ascii="Bookman Old Style" w:eastAsia="Times New Roman" w:hAnsi="Bookman Old Style"/>
          <w:sz w:val="24"/>
          <w:szCs w:val="24"/>
        </w:rPr>
        <w:t xml:space="preserve"> </w:t>
      </w:r>
      <w:proofErr w:type="gramStart"/>
      <w:r w:rsidRPr="009A06AE">
        <w:rPr>
          <w:rFonts w:ascii="Bookman Old Style" w:eastAsia="Times New Roman" w:hAnsi="Bookman Old Style"/>
          <w:sz w:val="24"/>
          <w:szCs w:val="24"/>
        </w:rPr>
        <w:t>a</w:t>
      </w:r>
      <w:proofErr w:type="gramEnd"/>
      <w:r w:rsidRPr="009A06AE">
        <w:rPr>
          <w:rFonts w:ascii="Bookman Old Style" w:eastAsia="Times New Roman" w:hAnsi="Bookman Old Style"/>
          <w:sz w:val="24"/>
          <w:szCs w:val="24"/>
        </w:rPr>
        <w:t xml:space="preserve"> proposta da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w:t>
      </w:r>
    </w:p>
    <w:p w14:paraId="073F7D86"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t>CLÁUSULA SEGUNDA – DO REGIME E DO MODELO DE EXECUÇÃO</w:t>
      </w:r>
    </w:p>
    <w:p w14:paraId="29BF40BE"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2.1.</w:t>
      </w:r>
      <w:r w:rsidRPr="009A06AE">
        <w:rPr>
          <w:rFonts w:ascii="Bookman Old Style" w:eastAsia="Times New Roman" w:hAnsi="Bookman Old Style"/>
          <w:sz w:val="24"/>
          <w:szCs w:val="24"/>
        </w:rPr>
        <w:t xml:space="preserve"> O objeto será executado sob o regime de </w:t>
      </w:r>
      <w:r w:rsidRPr="009A06AE">
        <w:rPr>
          <w:rFonts w:ascii="Bookman Old Style" w:eastAsia="Times New Roman" w:hAnsi="Bookman Old Style"/>
          <w:b/>
          <w:bCs/>
          <w:sz w:val="24"/>
          <w:szCs w:val="24"/>
        </w:rPr>
        <w:t>empreitada por preço global</w:t>
      </w:r>
      <w:r w:rsidRPr="009A06AE">
        <w:rPr>
          <w:rFonts w:ascii="Bookman Old Style" w:eastAsia="Times New Roman" w:hAnsi="Bookman Old Style"/>
          <w:sz w:val="24"/>
          <w:szCs w:val="24"/>
        </w:rPr>
        <w:t xml:space="preserve">, sem cessão exclusiva de empregados à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w:t>
      </w:r>
    </w:p>
    <w:p w14:paraId="2923824E"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2.2.</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organizará autonomamente seus recursos humanos e materiais, respondendo integralmente pela execução, sem </w:t>
      </w:r>
      <w:r w:rsidRPr="009A06AE">
        <w:rPr>
          <w:rFonts w:ascii="Bookman Old Style" w:eastAsia="Times New Roman" w:hAnsi="Bookman Old Style"/>
          <w:sz w:val="24"/>
          <w:szCs w:val="24"/>
        </w:rPr>
        <w:lastRenderedPageBreak/>
        <w:t xml:space="preserve">compartilhamento obrigatório de equipe nas dependências da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salvo as interações pontuais estritamente necessárias ao acompanhamento contratual.</w:t>
      </w:r>
    </w:p>
    <w:p w14:paraId="524AB68A"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2.3.</w:t>
      </w:r>
      <w:r w:rsidRPr="009A06AE">
        <w:rPr>
          <w:rFonts w:ascii="Bookman Old Style" w:eastAsia="Times New Roman" w:hAnsi="Bookman Old Style"/>
          <w:sz w:val="24"/>
          <w:szCs w:val="24"/>
        </w:rPr>
        <w:t xml:space="preserve"> A execução observará os padrões de desempenho, os níveis mínimos de serviço, a metodologia, os prazos e os indicadores estabelecidos no Termo de Referência, inclusive atendimento presencial quando solicitado pela Administração, suporte remoto em dias úteis durante o horário de expediente administrativo, acompanhamento das remessas ao AUDESP, apoio ao SIOPS, ao RGF, ao RREO, ao fechamento do balanço anual e às prestações de contas correlatas.</w:t>
      </w:r>
    </w:p>
    <w:p w14:paraId="17499B8F"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2.4.</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deverá, em </w:t>
      </w:r>
      <w:r w:rsidRPr="009A06AE">
        <w:rPr>
          <w:rFonts w:ascii="Bookman Old Style" w:eastAsia="Times New Roman" w:hAnsi="Bookman Old Style"/>
          <w:b/>
          <w:bCs/>
          <w:sz w:val="24"/>
          <w:szCs w:val="24"/>
        </w:rPr>
        <w:t>até 10 (dez) dias úteis contados do início da execução</w:t>
      </w:r>
      <w:r w:rsidRPr="009A06AE">
        <w:rPr>
          <w:rFonts w:ascii="Bookman Old Style" w:eastAsia="Times New Roman" w:hAnsi="Bookman Old Style"/>
          <w:sz w:val="24"/>
          <w:szCs w:val="24"/>
        </w:rPr>
        <w:t>, promover alinhamento inicial do cronograma operacional com o Departamento de Contabilidade, definindo canais formais de comunicação, fluxo básico de demandas, rotina de validações e providências necessárias ao cumprimento dos prazos regulatórios aplicáveis.</w:t>
      </w:r>
    </w:p>
    <w:p w14:paraId="7DE1851A"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2.5.</w:t>
      </w:r>
      <w:r w:rsidRPr="009A06AE">
        <w:rPr>
          <w:rFonts w:ascii="Bookman Old Style" w:eastAsia="Times New Roman" w:hAnsi="Bookman Old Style"/>
          <w:sz w:val="24"/>
          <w:szCs w:val="24"/>
        </w:rPr>
        <w:t xml:space="preserve"> As solicitações de atendimento presencial deverão ser formalizadas por meio rastreável, com indicação, sempre que possível, da demanda, do setor interessado e da urgência do atendimento, sem prejuízo da prestação de suporte remoto cotidiano por telefone, </w:t>
      </w:r>
      <w:r w:rsidRPr="009A06AE">
        <w:rPr>
          <w:rFonts w:ascii="Bookman Old Style" w:eastAsia="Times New Roman" w:hAnsi="Bookman Old Style"/>
          <w:i/>
          <w:iCs/>
          <w:sz w:val="24"/>
          <w:szCs w:val="24"/>
        </w:rPr>
        <w:t>WhatsApp</w:t>
      </w:r>
      <w:r w:rsidRPr="009A06AE">
        <w:rPr>
          <w:rFonts w:ascii="Bookman Old Style" w:eastAsia="Times New Roman" w:hAnsi="Bookman Old Style"/>
          <w:sz w:val="24"/>
          <w:szCs w:val="24"/>
        </w:rPr>
        <w:t xml:space="preserve">, correio eletrônico e acesso via </w:t>
      </w:r>
      <w:r w:rsidRPr="009A06AE">
        <w:rPr>
          <w:rFonts w:ascii="Bookman Old Style" w:eastAsia="Times New Roman" w:hAnsi="Bookman Old Style"/>
          <w:i/>
          <w:iCs/>
          <w:sz w:val="24"/>
          <w:szCs w:val="24"/>
        </w:rPr>
        <w:t>internet</w:t>
      </w:r>
      <w:r w:rsidRPr="009A06AE">
        <w:rPr>
          <w:rFonts w:ascii="Bookman Old Style" w:eastAsia="Times New Roman" w:hAnsi="Bookman Old Style"/>
          <w:sz w:val="24"/>
          <w:szCs w:val="24"/>
        </w:rPr>
        <w:t>.</w:t>
      </w:r>
    </w:p>
    <w:p w14:paraId="4FBC3393"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lastRenderedPageBreak/>
        <w:t>CLÁUSULA TERCEIRA – DA VIGÊNCIA E DOS PRAZOS</w:t>
      </w:r>
    </w:p>
    <w:p w14:paraId="0213756F"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3.1.</w:t>
      </w:r>
      <w:r w:rsidRPr="009A06AE">
        <w:rPr>
          <w:rFonts w:ascii="Bookman Old Style" w:eastAsia="Times New Roman" w:hAnsi="Bookman Old Style"/>
          <w:sz w:val="24"/>
          <w:szCs w:val="24"/>
        </w:rPr>
        <w:t xml:space="preserve"> A vigência contratual será de </w:t>
      </w:r>
      <w:r w:rsidRPr="009A06AE">
        <w:rPr>
          <w:rFonts w:ascii="Bookman Old Style" w:eastAsia="Times New Roman" w:hAnsi="Bookman Old Style"/>
          <w:b/>
          <w:bCs/>
          <w:sz w:val="24"/>
          <w:szCs w:val="24"/>
        </w:rPr>
        <w:t>12 (doze) meses</w:t>
      </w:r>
      <w:r w:rsidRPr="009A06AE">
        <w:rPr>
          <w:rFonts w:ascii="Bookman Old Style" w:eastAsia="Times New Roman" w:hAnsi="Bookman Old Style"/>
          <w:sz w:val="24"/>
          <w:szCs w:val="24"/>
        </w:rPr>
        <w:t>, contados da data de assinatura do contrato, podendo ser prorrogada nas hipóteses legalmente cabíveis, desde que demonstradas a vantajosidade, a manutenção do interesse público e a disponibilidade orçamentária.</w:t>
      </w:r>
    </w:p>
    <w:p w14:paraId="3F8CCD6F"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3.2.</w:t>
      </w:r>
      <w:r w:rsidRPr="009A06AE">
        <w:rPr>
          <w:rFonts w:ascii="Bookman Old Style" w:eastAsia="Times New Roman" w:hAnsi="Bookman Old Style"/>
          <w:sz w:val="24"/>
          <w:szCs w:val="24"/>
        </w:rPr>
        <w:t xml:space="preserve"> O início da execução ocorrerá a partir da emissão da ordem de início dos serviços, salvo se a Administração definir expressamente o início imediato na data da assinatura do contrato.</w:t>
      </w:r>
    </w:p>
    <w:p w14:paraId="17B1F851"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3.3.</w:t>
      </w:r>
      <w:r w:rsidRPr="009A06AE">
        <w:rPr>
          <w:rFonts w:ascii="Bookman Old Style" w:eastAsia="Times New Roman" w:hAnsi="Bookman Old Style"/>
          <w:sz w:val="24"/>
          <w:szCs w:val="24"/>
        </w:rPr>
        <w:t xml:space="preserve"> Tratando-se de serviço contínuo, a prorrogação observará a disciplina da Lei nº 14.133/2021 e do Decreto Municipal nº 1.933/2024.</w:t>
      </w:r>
    </w:p>
    <w:p w14:paraId="218FEF81" w14:textId="77777777" w:rsidR="009A06AE" w:rsidRPr="009A06AE" w:rsidRDefault="009A06AE" w:rsidP="001540B2">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t>CLÁUSULA QUARTA – DO PREÇO, DA MEDIÇÃO E DO PAGAMENTO</w:t>
      </w:r>
    </w:p>
    <w:p w14:paraId="29E3E48F" w14:textId="77777777" w:rsidR="009A06AE" w:rsidRPr="00DD1676" w:rsidRDefault="009A06AE" w:rsidP="009A06AE">
      <w:pPr>
        <w:spacing w:before="480" w:after="480" w:line="360" w:lineRule="auto"/>
        <w:ind w:firstLine="1134"/>
        <w:jc w:val="both"/>
        <w:rPr>
          <w:rFonts w:ascii="Bookman Old Style" w:eastAsia="Times New Roman" w:hAnsi="Bookman Old Style"/>
        </w:rPr>
      </w:pPr>
      <w:r>
        <w:rPr>
          <w:rFonts w:ascii="Bookman Old Style" w:eastAsia="Times New Roman" w:hAnsi="Bookman Old Style"/>
          <w:b/>
          <w:bCs/>
          <w:sz w:val="24"/>
          <w:szCs w:val="24"/>
        </w:rPr>
        <w:t>4.1.</w:t>
      </w:r>
      <w:r>
        <w:rPr>
          <w:rFonts w:ascii="Bookman Old Style" w:hAnsi="Bookman Old Style"/>
          <w:sz w:val="24"/>
          <w:szCs w:val="24"/>
        </w:rPr>
        <w:t xml:space="preserve"> O valor total contratado será de R$ [●] ([extenso]), conforme proposta da CONTRATADA, observado o valor máximo estimado de referência de R$ 54.000,00 (cinquenta e quatro mil reais), correspondente ao limite mensal máximo de R$ 4.500,00 (quatro mil e quinhentos reais).</w:t>
      </w:r>
    </w:p>
    <w:p w14:paraId="26C3FA5F"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4.2.</w:t>
      </w:r>
      <w:r w:rsidRPr="009A06AE">
        <w:rPr>
          <w:rFonts w:ascii="Bookman Old Style" w:eastAsia="Times New Roman" w:hAnsi="Bookman Old Style"/>
          <w:sz w:val="24"/>
          <w:szCs w:val="24"/>
        </w:rPr>
        <w:t xml:space="preserve"> A medição ocorrerá </w:t>
      </w:r>
      <w:r w:rsidRPr="009A06AE">
        <w:rPr>
          <w:rFonts w:ascii="Bookman Old Style" w:eastAsia="Times New Roman" w:hAnsi="Bookman Old Style"/>
          <w:b/>
          <w:bCs/>
          <w:sz w:val="24"/>
          <w:szCs w:val="24"/>
        </w:rPr>
        <w:t>mensalmente</w:t>
      </w:r>
      <w:r w:rsidRPr="009A06AE">
        <w:rPr>
          <w:rFonts w:ascii="Bookman Old Style" w:eastAsia="Times New Roman" w:hAnsi="Bookman Old Style"/>
          <w:sz w:val="24"/>
          <w:szCs w:val="24"/>
        </w:rPr>
        <w:t xml:space="preserve">, por período de efetiva execução, com base nos critérios objetivos fixados no Termo de Referência, especialmente mediante verificação do cumprimento das atividades </w:t>
      </w:r>
      <w:r w:rsidRPr="009A06AE">
        <w:rPr>
          <w:rFonts w:ascii="Bookman Old Style" w:eastAsia="Times New Roman" w:hAnsi="Bookman Old Style"/>
          <w:sz w:val="24"/>
          <w:szCs w:val="24"/>
        </w:rPr>
        <w:lastRenderedPageBreak/>
        <w:t>contratadas, da observância dos prazos aplicáveis, da entrega do relatório mensal e da emissão de atesto pelo fiscal do contrato.</w:t>
      </w:r>
    </w:p>
    <w:p w14:paraId="4768DFBC"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4.3.</w:t>
      </w:r>
      <w:r w:rsidRPr="009A06AE">
        <w:rPr>
          <w:rFonts w:ascii="Bookman Old Style" w:eastAsia="Times New Roman" w:hAnsi="Bookman Old Style"/>
          <w:sz w:val="24"/>
          <w:szCs w:val="24"/>
        </w:rPr>
        <w:t xml:space="preserve"> O pagamento será efetuado no prazo de </w:t>
      </w:r>
      <w:r w:rsidRPr="009A06AE">
        <w:rPr>
          <w:rFonts w:ascii="Bookman Old Style" w:eastAsia="Times New Roman" w:hAnsi="Bookman Old Style"/>
          <w:b/>
          <w:bCs/>
          <w:sz w:val="24"/>
          <w:szCs w:val="24"/>
        </w:rPr>
        <w:t>até 30 (trinta) dias corridos</w:t>
      </w:r>
      <w:r w:rsidRPr="009A06AE">
        <w:rPr>
          <w:rFonts w:ascii="Bookman Old Style" w:eastAsia="Times New Roman" w:hAnsi="Bookman Old Style"/>
          <w:sz w:val="24"/>
          <w:szCs w:val="24"/>
        </w:rPr>
        <w:t>, contado do recebimento da nota fiscal ou fatura devidamente atestada e da regular liquidação da despesa, desde que comprovada a regular execução do objeto e observadas as exigências legais e contratuais.</w:t>
      </w:r>
    </w:p>
    <w:p w14:paraId="1D5C053E"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4.3.1.</w:t>
      </w:r>
      <w:r w:rsidRPr="009A06AE">
        <w:rPr>
          <w:rFonts w:ascii="Bookman Old Style" w:eastAsia="Times New Roman" w:hAnsi="Bookman Old Style"/>
          <w:sz w:val="24"/>
          <w:szCs w:val="24"/>
        </w:rPr>
        <w:t xml:space="preserve"> Para fins de pagamento,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deverá apresentar nota fiscal ou fatura discriminada, relatório mensal das atividades executadas, atesto do fiscal do contrato, documentos de regularidade exigíveis e demais elementos previstos no aviso de contratação direta ou neste contrato.</w:t>
      </w:r>
    </w:p>
    <w:p w14:paraId="6E41DC1C" w14:textId="77777777" w:rsid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4.3.2.</w:t>
      </w:r>
      <w:r w:rsidRPr="009A06AE">
        <w:rPr>
          <w:rFonts w:ascii="Bookman Old Style" w:eastAsia="Times New Roman" w:hAnsi="Bookman Old Style"/>
          <w:sz w:val="24"/>
          <w:szCs w:val="24"/>
        </w:rPr>
        <w:t xml:space="preserve"> Poderá haver glosa proporcional em caso de execução parcial, inadequada, intempestiva ou em desconformidade com os padrões exigidos, observando-se registro formal da ocorrência e assegurando-se à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o contraditório e a ampla defesa.</w:t>
      </w:r>
    </w:p>
    <w:p w14:paraId="0B3CF2A5" w14:textId="26279F84" w:rsidR="00477DFC" w:rsidRPr="009A06AE" w:rsidRDefault="00477DFC" w:rsidP="009A06AE">
      <w:pPr>
        <w:spacing w:before="480" w:after="480" w:line="360" w:lineRule="auto"/>
        <w:ind w:firstLine="1134"/>
        <w:jc w:val="both"/>
        <w:rPr>
          <w:rFonts w:ascii="Bookman Old Style" w:eastAsia="Times New Roman" w:hAnsi="Bookman Old Style"/>
          <w:sz w:val="24"/>
          <w:szCs w:val="24"/>
        </w:rPr>
      </w:pPr>
      <w:r w:rsidRPr="00477DFC">
        <w:rPr>
          <w:rFonts w:ascii="Bookman Old Style" w:eastAsia="Times New Roman" w:hAnsi="Bookman Old Style"/>
          <w:b/>
          <w:bCs/>
          <w:sz w:val="24"/>
          <w:szCs w:val="24"/>
        </w:rPr>
        <w:t>4.3.3.</w:t>
      </w:r>
      <w:r w:rsidRPr="00477DFC">
        <w:rPr>
          <w:rFonts w:ascii="Bookman Old Style" w:eastAsia="Times New Roman" w:hAnsi="Bookman Old Style"/>
          <w:sz w:val="24"/>
          <w:szCs w:val="24"/>
        </w:rPr>
        <w:t xml:space="preserve"> Na hipótese de incidência de reajuste contratual, o pagamento da parcela reajustada observará a disciplina da Cláusula Quinta deste contrato, inclusive quanto à aplicação provisória do último índice oficialmente conhecido e à compensação financeira posterior, quando o índice definitivo ainda não estiver divulgado na data da respectiva fatura.</w:t>
      </w:r>
    </w:p>
    <w:p w14:paraId="6FA60E0A"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4.4.</w:t>
      </w:r>
      <w:r w:rsidRPr="009A06AE">
        <w:rPr>
          <w:rFonts w:ascii="Bookman Old Style" w:eastAsia="Times New Roman" w:hAnsi="Bookman Old Style"/>
          <w:sz w:val="24"/>
          <w:szCs w:val="24"/>
        </w:rPr>
        <w:t xml:space="preserve"> No preço contratado estão incluídos todos os custos diretos e indiretos necessários à execução integral do objeto, inclusive tributos, encargos sociais, trabalhistas, previdenciários, fiscais, comerciais, despesas operacionais, seguros, transportes, materiais, ferramentas, softwares e demais ônus incidentes.</w:t>
      </w:r>
    </w:p>
    <w:p w14:paraId="507576D0"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4.5.</w:t>
      </w:r>
      <w:r w:rsidRPr="009A06AE">
        <w:rPr>
          <w:rFonts w:ascii="Bookman Old Style" w:eastAsia="Times New Roman" w:hAnsi="Bookman Old Style"/>
          <w:sz w:val="24"/>
          <w:szCs w:val="24"/>
        </w:rPr>
        <w:t xml:space="preserve"> Havendo erro na nota fiscal ou documento de cobrança, ou qualquer circunstância que impeça a liquidação, o prazo de pagamento ficará suspenso até a regularização, sem ônus adicional para 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w:t>
      </w:r>
    </w:p>
    <w:p w14:paraId="455BFA08"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4.6.</w:t>
      </w:r>
      <w:r>
        <w:rPr>
          <w:rFonts w:ascii="Bookman Old Style" w:eastAsia="Times New Roman" w:hAnsi="Bookman Old Style"/>
          <w:sz w:val="24"/>
          <w:szCs w:val="24"/>
        </w:rPr>
        <w:t xml:space="preserve"> Havendo atraso injustificado no pagamento dos valores devidos pela </w:t>
      </w:r>
      <w:r w:rsidRPr="004204C8">
        <w:rPr>
          <w:rFonts w:ascii="Bookman Old Style" w:eastAsia="Times New Roman" w:hAnsi="Bookman Old Style"/>
          <w:b/>
          <w:bCs/>
          <w:sz w:val="24"/>
          <w:szCs w:val="24"/>
        </w:rPr>
        <w:t>CONTRATANTE</w:t>
      </w:r>
      <w:r>
        <w:rPr>
          <w:rFonts w:ascii="Bookman Old Style" w:eastAsia="Times New Roman" w:hAnsi="Bookman Old Style"/>
          <w:sz w:val="24"/>
          <w:szCs w:val="24"/>
        </w:rPr>
        <w:t>, a importância devida será atualizada monetariamente entre a data estipulada para o adimplemento e a data do efetivo pagamento, com base na variação do Índice Nacional de Preços ao Consumidor Amplo – IPCA/IBGE, ou de outro índice oficial que venha a substituí-lo, sem prejuízo dos demais efeitos legalmente cabíveis.</w:t>
      </w:r>
    </w:p>
    <w:p w14:paraId="7493D108"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t>CLÁUSULA QUINTA – DO REAJUSTE E DO REEQUILÍBRIO</w:t>
      </w:r>
    </w:p>
    <w:p w14:paraId="56144F93" w14:textId="0C652854" w:rsidR="00131E5A" w:rsidRPr="00131E5A" w:rsidRDefault="00131E5A" w:rsidP="00131E5A">
      <w:pPr>
        <w:spacing w:before="480" w:after="480" w:line="360" w:lineRule="auto"/>
        <w:ind w:firstLine="1134"/>
        <w:jc w:val="both"/>
        <w:rPr>
          <w:rFonts w:ascii="Bookman Old Style" w:eastAsia="Times New Roman" w:hAnsi="Bookman Old Style"/>
          <w:b/>
          <w:bCs/>
          <w:sz w:val="24"/>
          <w:szCs w:val="24"/>
          <w:lang w:bidi="pt-BR"/>
        </w:rPr>
      </w:pPr>
      <w:r w:rsidRPr="00131E5A">
        <w:rPr>
          <w:rFonts w:ascii="Bookman Old Style" w:eastAsia="Times New Roman" w:hAnsi="Bookman Old Style"/>
          <w:b/>
          <w:bCs/>
          <w:sz w:val="24"/>
          <w:szCs w:val="24"/>
          <w:lang w:bidi="pt-BR"/>
        </w:rPr>
        <w:t>5.1.</w:t>
      </w:r>
      <w:r w:rsidRPr="00131E5A">
        <w:rPr>
          <w:rFonts w:ascii="Bookman Old Style" w:eastAsia="Times New Roman" w:hAnsi="Bookman Old Style"/>
          <w:sz w:val="24"/>
          <w:szCs w:val="24"/>
          <w:lang w:bidi="pt-BR"/>
        </w:rPr>
        <w:t xml:space="preserve"> Em caso de prorrogação juridicamente admitida, ou de continuidade da execução após o implemento da anualidade, o reajuste pelo </w:t>
      </w:r>
      <w:r w:rsidRPr="00131E5A">
        <w:rPr>
          <w:rFonts w:ascii="Bookman Old Style" w:eastAsia="Times New Roman" w:hAnsi="Bookman Old Style"/>
          <w:b/>
          <w:bCs/>
          <w:sz w:val="24"/>
          <w:szCs w:val="24"/>
          <w:lang w:bidi="pt-BR"/>
        </w:rPr>
        <w:t>IPCA/IBGE</w:t>
      </w:r>
      <w:r w:rsidRPr="00131E5A">
        <w:rPr>
          <w:rFonts w:ascii="Bookman Old Style" w:eastAsia="Times New Roman" w:hAnsi="Bookman Old Style"/>
          <w:sz w:val="24"/>
          <w:szCs w:val="24"/>
          <w:lang w:bidi="pt-BR"/>
        </w:rPr>
        <w:t xml:space="preserve">, ou por outro índice oficial que venha a substituí-lo, </w:t>
      </w:r>
      <w:r w:rsidRPr="00131E5A">
        <w:rPr>
          <w:rFonts w:ascii="Bookman Old Style" w:eastAsia="Times New Roman" w:hAnsi="Bookman Old Style"/>
          <w:b/>
          <w:bCs/>
          <w:sz w:val="24"/>
          <w:szCs w:val="24"/>
          <w:lang w:bidi="pt-BR"/>
        </w:rPr>
        <w:t xml:space="preserve">será processado de ofício pela Administração, observado o interregno </w:t>
      </w:r>
      <w:r w:rsidRPr="00131E5A">
        <w:rPr>
          <w:rFonts w:ascii="Bookman Old Style" w:eastAsia="Times New Roman" w:hAnsi="Bookman Old Style"/>
          <w:b/>
          <w:bCs/>
          <w:sz w:val="24"/>
          <w:szCs w:val="24"/>
          <w:lang w:bidi="pt-BR"/>
        </w:rPr>
        <w:lastRenderedPageBreak/>
        <w:t>mínimo de 12 (doze) meses, contado da data do orçamento estimado a que a proposta se referir, ou do último reajustamento</w:t>
      </w:r>
      <w:r w:rsidRPr="00131E5A">
        <w:rPr>
          <w:rFonts w:ascii="Bookman Old Style" w:eastAsia="Times New Roman" w:hAnsi="Bookman Old Style"/>
          <w:sz w:val="24"/>
          <w:szCs w:val="24"/>
          <w:lang w:bidi="pt-BR"/>
        </w:rPr>
        <w:t xml:space="preserve">, mediante cálculo formal e formalização por apostilamento, </w:t>
      </w:r>
      <w:r w:rsidRPr="00131E5A">
        <w:rPr>
          <w:rFonts w:ascii="Bookman Old Style" w:eastAsia="Times New Roman" w:hAnsi="Bookman Old Style"/>
          <w:b/>
          <w:bCs/>
          <w:sz w:val="24"/>
          <w:szCs w:val="24"/>
          <w:lang w:bidi="pt-BR"/>
        </w:rPr>
        <w:t>desde que preservadas a vantajosidade, a disponibilidade orçamentária, a regularidade da CONTRATADA e a compatibilidade com as regras aplicáveis</w:t>
      </w:r>
      <w:r w:rsidRPr="00131E5A">
        <w:rPr>
          <w:rFonts w:ascii="Bookman Old Style" w:eastAsia="Times New Roman" w:hAnsi="Bookman Old Style"/>
          <w:sz w:val="24"/>
          <w:szCs w:val="24"/>
          <w:lang w:bidi="pt-BR"/>
        </w:rPr>
        <w:t>.</w:t>
      </w:r>
    </w:p>
    <w:p w14:paraId="2ADF305C" w14:textId="4E0938DF" w:rsidR="00131E5A" w:rsidRPr="00131E5A" w:rsidRDefault="00131E5A" w:rsidP="00131E5A">
      <w:pPr>
        <w:spacing w:before="480" w:after="480" w:line="360" w:lineRule="auto"/>
        <w:ind w:firstLine="1134"/>
        <w:jc w:val="both"/>
        <w:rPr>
          <w:rFonts w:ascii="Bookman Old Style" w:eastAsia="Times New Roman" w:hAnsi="Bookman Old Style"/>
          <w:b/>
          <w:bCs/>
          <w:sz w:val="24"/>
          <w:szCs w:val="24"/>
          <w:lang w:bidi="pt-BR"/>
        </w:rPr>
      </w:pPr>
      <w:r w:rsidRPr="00131E5A">
        <w:rPr>
          <w:rFonts w:ascii="Bookman Old Style" w:eastAsia="Times New Roman" w:hAnsi="Bookman Old Style"/>
          <w:b/>
          <w:bCs/>
          <w:sz w:val="24"/>
          <w:szCs w:val="24"/>
          <w:lang w:bidi="pt-BR"/>
        </w:rPr>
        <w:t>5.2.</w:t>
      </w:r>
      <w:r w:rsidRPr="00131E5A">
        <w:rPr>
          <w:rFonts w:ascii="Bookman Old Style" w:eastAsia="Times New Roman" w:hAnsi="Bookman Old Style"/>
          <w:sz w:val="24"/>
          <w:szCs w:val="24"/>
          <w:lang w:bidi="pt-BR"/>
        </w:rPr>
        <w:t xml:space="preserve"> O cálculo formal do reajuste observará a variação acumulada do índice aplicável no período, podendo ser representado pela fórmula</w:t>
      </w:r>
      <w:r w:rsidR="00AE4E27">
        <w:rPr>
          <w:rFonts w:ascii="Bookman Old Style" w:eastAsia="Times New Roman" w:hAnsi="Bookman Old Style"/>
          <w:sz w:val="24"/>
          <w:szCs w:val="24"/>
          <w:lang w:bidi="pt-BR"/>
        </w:rPr>
        <w:t xml:space="preserve"> constante no item 7.5 do Termo de Referência.</w:t>
      </w:r>
    </w:p>
    <w:p w14:paraId="4F4EF07E" w14:textId="1B395924" w:rsidR="00131E5A" w:rsidRPr="00131E5A" w:rsidRDefault="00131E5A" w:rsidP="00131E5A">
      <w:pPr>
        <w:spacing w:before="480" w:after="480" w:line="360" w:lineRule="auto"/>
        <w:ind w:firstLine="1134"/>
        <w:jc w:val="both"/>
        <w:rPr>
          <w:rFonts w:ascii="Bookman Old Style" w:eastAsia="Times New Roman" w:hAnsi="Bookman Old Style"/>
          <w:sz w:val="24"/>
          <w:szCs w:val="24"/>
          <w:lang w:bidi="pt-BR"/>
        </w:rPr>
      </w:pPr>
      <w:r w:rsidRPr="00131E5A">
        <w:rPr>
          <w:rFonts w:ascii="Bookman Old Style" w:eastAsia="Times New Roman" w:hAnsi="Bookman Old Style"/>
          <w:b/>
          <w:bCs/>
          <w:sz w:val="24"/>
          <w:szCs w:val="24"/>
          <w:lang w:bidi="pt-BR"/>
        </w:rPr>
        <w:t>5.3.</w:t>
      </w:r>
      <w:r w:rsidRPr="00131E5A">
        <w:rPr>
          <w:rFonts w:ascii="Bookman Old Style" w:eastAsia="Times New Roman" w:hAnsi="Bookman Old Style"/>
          <w:sz w:val="24"/>
          <w:szCs w:val="24"/>
          <w:lang w:bidi="pt-BR"/>
        </w:rPr>
        <w:t xml:space="preserve"> O reajuste em sentido estrito não se confunde com revisão, recomposição do equilíbrio econômico-financeiro ou repactuação.</w:t>
      </w:r>
    </w:p>
    <w:p w14:paraId="226CFF05" w14:textId="40DDB148" w:rsidR="00131E5A" w:rsidRPr="00131E5A" w:rsidRDefault="00131E5A" w:rsidP="00131E5A">
      <w:pPr>
        <w:spacing w:before="480" w:after="480" w:line="360" w:lineRule="auto"/>
        <w:ind w:firstLine="1134"/>
        <w:jc w:val="both"/>
        <w:rPr>
          <w:rFonts w:ascii="Bookman Old Style" w:eastAsia="Times New Roman" w:hAnsi="Bookman Old Style"/>
          <w:sz w:val="24"/>
          <w:szCs w:val="24"/>
        </w:rPr>
      </w:pPr>
      <w:r w:rsidRPr="00131E5A">
        <w:rPr>
          <w:rFonts w:ascii="Bookman Old Style" w:eastAsia="Times New Roman" w:hAnsi="Bookman Old Style"/>
          <w:b/>
          <w:bCs/>
          <w:sz w:val="24"/>
          <w:szCs w:val="24"/>
          <w:lang w:bidi="pt-BR"/>
        </w:rPr>
        <w:t>5.4.</w:t>
      </w:r>
      <w:r w:rsidRPr="00131E5A">
        <w:rPr>
          <w:rFonts w:ascii="Bookman Old Style" w:eastAsia="Times New Roman" w:hAnsi="Bookman Old Style"/>
          <w:sz w:val="24"/>
          <w:szCs w:val="24"/>
          <w:lang w:bidi="pt-BR"/>
        </w:rPr>
        <w:t xml:space="preserve"> Não se aplica repactuação à presente contratação, por inexistir regime de dedicação exclusiva de mão de obra ou predominância de mão de obra com custos sujeitos a acordo, convenção coletiva, dissídio coletivo ou ato normativo equivalente, sem prejuízo de eventual revisão ou recomposição do equilíbrio econômico-financeiro, quando cabível, mediante requerimento devidamente instruído e análise formal da Administração.</w:t>
      </w:r>
    </w:p>
    <w:p w14:paraId="450A359F" w14:textId="1B654A16" w:rsidR="00AB14D1" w:rsidRDefault="00131E5A" w:rsidP="00131E5A">
      <w:pPr>
        <w:spacing w:before="480" w:after="480" w:line="360" w:lineRule="auto"/>
        <w:ind w:firstLine="1134"/>
        <w:jc w:val="both"/>
        <w:rPr>
          <w:rFonts w:ascii="Bookman Old Style" w:eastAsia="Times New Roman" w:hAnsi="Bookman Old Style"/>
          <w:sz w:val="24"/>
          <w:szCs w:val="24"/>
        </w:rPr>
      </w:pPr>
      <w:r w:rsidRPr="00131E5A">
        <w:rPr>
          <w:rFonts w:ascii="Bookman Old Style" w:eastAsia="Times New Roman" w:hAnsi="Bookman Old Style"/>
          <w:b/>
          <w:bCs/>
          <w:sz w:val="24"/>
          <w:szCs w:val="24"/>
        </w:rPr>
        <w:t>5.5.</w:t>
      </w:r>
      <w:r w:rsidRPr="00131E5A">
        <w:rPr>
          <w:rFonts w:ascii="Bookman Old Style" w:eastAsia="Times New Roman" w:hAnsi="Bookman Old Style"/>
          <w:sz w:val="24"/>
          <w:szCs w:val="24"/>
        </w:rPr>
        <w:t xml:space="preserve"> O reequilíbrio econômico-financeiro poderá ser analisado nas hipóteses legalmente admitidas, mediante requerimento formal devidamente instruído e demonstração objetiva do fato superveniente, </w:t>
      </w:r>
      <w:r w:rsidRPr="00131E5A">
        <w:rPr>
          <w:rFonts w:ascii="Bookman Old Style" w:eastAsia="Times New Roman" w:hAnsi="Bookman Old Style"/>
          <w:sz w:val="24"/>
          <w:szCs w:val="24"/>
        </w:rPr>
        <w:lastRenderedPageBreak/>
        <w:t>imprevisível ou previsível de consequências incalculáveis, bem como do impacto efetivo na equação econômico-financeira inicial.</w:t>
      </w:r>
    </w:p>
    <w:p w14:paraId="52F85818" w14:textId="4FE04B0A" w:rsidR="009A06AE" w:rsidRPr="009A06AE" w:rsidRDefault="009A06AE" w:rsidP="00131E5A">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5.</w:t>
      </w:r>
      <w:r w:rsidR="00AB14D1">
        <w:rPr>
          <w:rFonts w:ascii="Bookman Old Style" w:eastAsia="Times New Roman" w:hAnsi="Bookman Old Style"/>
          <w:b/>
          <w:bCs/>
          <w:sz w:val="24"/>
          <w:szCs w:val="24"/>
        </w:rPr>
        <w:t>6</w:t>
      </w:r>
      <w:r w:rsidRPr="009A06AE">
        <w:rPr>
          <w:rFonts w:ascii="Bookman Old Style" w:eastAsia="Times New Roman" w:hAnsi="Bookman Old Style"/>
          <w:b/>
          <w:bCs/>
          <w:sz w:val="24"/>
          <w:szCs w:val="24"/>
        </w:rPr>
        <w:t>.</w:t>
      </w:r>
      <w:r w:rsidRPr="009A06AE">
        <w:rPr>
          <w:rFonts w:ascii="Bookman Old Style" w:eastAsia="Times New Roman" w:hAnsi="Bookman Old Style"/>
          <w:sz w:val="24"/>
          <w:szCs w:val="24"/>
        </w:rPr>
        <w:t xml:space="preserve"> O prazo para resposta ao pedido de restabelecimento do equilíbrio econômico-financeiro será de </w:t>
      </w:r>
      <w:r w:rsidRPr="009A06AE">
        <w:rPr>
          <w:rFonts w:ascii="Bookman Old Style" w:eastAsia="Times New Roman" w:hAnsi="Bookman Old Style"/>
          <w:b/>
          <w:bCs/>
          <w:sz w:val="24"/>
          <w:szCs w:val="24"/>
        </w:rPr>
        <w:t xml:space="preserve">até </w:t>
      </w:r>
      <w:r w:rsidR="00AB14D1">
        <w:rPr>
          <w:rFonts w:ascii="Bookman Old Style" w:eastAsia="Times New Roman" w:hAnsi="Bookman Old Style"/>
          <w:b/>
          <w:bCs/>
          <w:sz w:val="24"/>
          <w:szCs w:val="24"/>
        </w:rPr>
        <w:t>30</w:t>
      </w:r>
      <w:r w:rsidRPr="009A06AE">
        <w:rPr>
          <w:rFonts w:ascii="Bookman Old Style" w:eastAsia="Times New Roman" w:hAnsi="Bookman Old Style"/>
          <w:b/>
          <w:bCs/>
          <w:sz w:val="24"/>
          <w:szCs w:val="24"/>
        </w:rPr>
        <w:t xml:space="preserve"> (</w:t>
      </w:r>
      <w:r w:rsidR="00AB14D1">
        <w:rPr>
          <w:rFonts w:ascii="Bookman Old Style" w:eastAsia="Times New Roman" w:hAnsi="Bookman Old Style"/>
          <w:b/>
          <w:bCs/>
          <w:sz w:val="24"/>
          <w:szCs w:val="24"/>
        </w:rPr>
        <w:t>trinta</w:t>
      </w:r>
      <w:r w:rsidRPr="009A06AE">
        <w:rPr>
          <w:rFonts w:ascii="Bookman Old Style" w:eastAsia="Times New Roman" w:hAnsi="Bookman Old Style"/>
          <w:b/>
          <w:bCs/>
          <w:sz w:val="24"/>
          <w:szCs w:val="24"/>
        </w:rPr>
        <w:t>) dias úteis</w:t>
      </w:r>
      <w:r w:rsidRPr="009A06AE">
        <w:rPr>
          <w:rFonts w:ascii="Bookman Old Style" w:eastAsia="Times New Roman" w:hAnsi="Bookman Old Style"/>
          <w:sz w:val="24"/>
          <w:szCs w:val="24"/>
        </w:rPr>
        <w:t>, contado do protocolo devidamente instruído.</w:t>
      </w:r>
    </w:p>
    <w:p w14:paraId="1C587700"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t>CLÁUSULA SEXTA – DA DOTAÇÃO ORÇAMENTÁRIA</w:t>
      </w:r>
    </w:p>
    <w:p w14:paraId="08D9EC28"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6.1.</w:t>
      </w:r>
      <w:r w:rsidRPr="009A06AE">
        <w:rPr>
          <w:rFonts w:ascii="Bookman Old Style" w:eastAsia="Times New Roman" w:hAnsi="Bookman Old Style"/>
          <w:sz w:val="24"/>
          <w:szCs w:val="24"/>
        </w:rPr>
        <w:t xml:space="preserve"> As despesas decorrentes desta contratação correrão à conta da dotação orçamentária registrada sob a rubrica:</w:t>
      </w:r>
    </w:p>
    <w:p w14:paraId="2B457401" w14:textId="57A881BA" w:rsidR="009A06AE" w:rsidRPr="009A06AE" w:rsidRDefault="00AB14D1" w:rsidP="00AB14D1">
      <w:pPr>
        <w:spacing w:before="480" w:after="0" w:line="360" w:lineRule="auto"/>
        <w:jc w:val="both"/>
        <w:rPr>
          <w:rFonts w:ascii="Bookman Old Style" w:eastAsia="Times New Roman" w:hAnsi="Bookman Old Style"/>
          <w:b/>
          <w:bCs/>
          <w:sz w:val="20"/>
          <w:szCs w:val="20"/>
        </w:rPr>
      </w:pPr>
      <w:r w:rsidRPr="009A06AE">
        <w:rPr>
          <w:rFonts w:ascii="Bookman Old Style" w:eastAsia="Times New Roman" w:hAnsi="Bookman Old Style"/>
          <w:b/>
          <w:bCs/>
          <w:sz w:val="20"/>
          <w:szCs w:val="20"/>
        </w:rPr>
        <w:t>1 PREFEITURA MUNICIPAL DE ORINDIÚVA</w:t>
      </w:r>
    </w:p>
    <w:p w14:paraId="22800A0E" w14:textId="7EF63FA8" w:rsidR="009A06AE" w:rsidRPr="009A06AE" w:rsidRDefault="00AB14D1" w:rsidP="00AB14D1">
      <w:pPr>
        <w:spacing w:after="0" w:line="360" w:lineRule="auto"/>
        <w:jc w:val="both"/>
        <w:rPr>
          <w:rFonts w:ascii="Bookman Old Style" w:eastAsia="Times New Roman" w:hAnsi="Bookman Old Style"/>
          <w:b/>
          <w:bCs/>
          <w:sz w:val="20"/>
          <w:szCs w:val="20"/>
        </w:rPr>
      </w:pPr>
      <w:r w:rsidRPr="009A06AE">
        <w:rPr>
          <w:rFonts w:ascii="Bookman Old Style" w:eastAsia="Times New Roman" w:hAnsi="Bookman Old Style"/>
          <w:b/>
          <w:bCs/>
          <w:sz w:val="20"/>
          <w:szCs w:val="20"/>
        </w:rPr>
        <w:t>02 EXECUTIVO</w:t>
      </w:r>
    </w:p>
    <w:p w14:paraId="250E7DB3" w14:textId="1EDBA6CA" w:rsidR="009A06AE" w:rsidRPr="009A06AE" w:rsidRDefault="00AB14D1" w:rsidP="00AB14D1">
      <w:pPr>
        <w:spacing w:after="0" w:line="360" w:lineRule="auto"/>
        <w:jc w:val="both"/>
        <w:rPr>
          <w:rFonts w:ascii="Bookman Old Style" w:eastAsia="Times New Roman" w:hAnsi="Bookman Old Style"/>
          <w:b/>
          <w:bCs/>
          <w:sz w:val="20"/>
          <w:szCs w:val="20"/>
        </w:rPr>
      </w:pPr>
      <w:r w:rsidRPr="009A06AE">
        <w:rPr>
          <w:rFonts w:ascii="Bookman Old Style" w:eastAsia="Times New Roman" w:hAnsi="Bookman Old Style"/>
          <w:b/>
          <w:bCs/>
          <w:sz w:val="20"/>
          <w:szCs w:val="20"/>
        </w:rPr>
        <w:t>02 01 GABINETE DO PREFEITO E DEPENDÊNCIAS</w:t>
      </w:r>
    </w:p>
    <w:p w14:paraId="37F901DD" w14:textId="19AE4B4F" w:rsidR="009A06AE" w:rsidRPr="009A06AE" w:rsidRDefault="00AB14D1" w:rsidP="00AB14D1">
      <w:pPr>
        <w:spacing w:after="0" w:line="360" w:lineRule="auto"/>
        <w:jc w:val="both"/>
        <w:rPr>
          <w:rFonts w:ascii="Bookman Old Style" w:eastAsia="Times New Roman" w:hAnsi="Bookman Old Style"/>
          <w:b/>
          <w:bCs/>
          <w:sz w:val="20"/>
          <w:szCs w:val="20"/>
        </w:rPr>
      </w:pPr>
      <w:r w:rsidRPr="009A06AE">
        <w:rPr>
          <w:rFonts w:ascii="Bookman Old Style" w:eastAsia="Times New Roman" w:hAnsi="Bookman Old Style"/>
          <w:b/>
          <w:bCs/>
          <w:sz w:val="20"/>
          <w:szCs w:val="20"/>
        </w:rPr>
        <w:t>02 01 00 GABINETE DO PREFEITO E DEPENDÊNCIAS</w:t>
      </w:r>
    </w:p>
    <w:p w14:paraId="66C939D9" w14:textId="68352107" w:rsidR="009A06AE" w:rsidRPr="009A06AE" w:rsidRDefault="00AB14D1" w:rsidP="00AB14D1">
      <w:pPr>
        <w:spacing w:after="0" w:line="360" w:lineRule="auto"/>
        <w:jc w:val="both"/>
        <w:rPr>
          <w:rFonts w:ascii="Bookman Old Style" w:eastAsia="Times New Roman" w:hAnsi="Bookman Old Style"/>
          <w:b/>
          <w:bCs/>
          <w:sz w:val="20"/>
          <w:szCs w:val="20"/>
        </w:rPr>
      </w:pPr>
      <w:r w:rsidRPr="009A06AE">
        <w:rPr>
          <w:rFonts w:ascii="Bookman Old Style" w:eastAsia="Times New Roman" w:hAnsi="Bookman Old Style"/>
          <w:b/>
          <w:bCs/>
          <w:sz w:val="20"/>
          <w:szCs w:val="20"/>
        </w:rPr>
        <w:t>04 ADMINISTRAÇÃO</w:t>
      </w:r>
    </w:p>
    <w:p w14:paraId="50BD2D5F" w14:textId="2E0042FE" w:rsidR="009A06AE" w:rsidRPr="009A06AE" w:rsidRDefault="00AB14D1" w:rsidP="00AB14D1">
      <w:pPr>
        <w:spacing w:after="0" w:line="360" w:lineRule="auto"/>
        <w:jc w:val="both"/>
        <w:rPr>
          <w:rFonts w:ascii="Bookman Old Style" w:eastAsia="Times New Roman" w:hAnsi="Bookman Old Style"/>
          <w:b/>
          <w:bCs/>
          <w:sz w:val="20"/>
          <w:szCs w:val="20"/>
        </w:rPr>
      </w:pPr>
      <w:r w:rsidRPr="009A06AE">
        <w:rPr>
          <w:rFonts w:ascii="Bookman Old Style" w:eastAsia="Times New Roman" w:hAnsi="Bookman Old Style"/>
          <w:b/>
          <w:bCs/>
          <w:sz w:val="20"/>
          <w:szCs w:val="20"/>
        </w:rPr>
        <w:t>04 122 ADMINISTRAÇÃO GERAL</w:t>
      </w:r>
    </w:p>
    <w:p w14:paraId="048272CD" w14:textId="16AD500F" w:rsidR="009A06AE" w:rsidRPr="009A06AE" w:rsidRDefault="00AB14D1" w:rsidP="00AB14D1">
      <w:pPr>
        <w:spacing w:after="0" w:line="360" w:lineRule="auto"/>
        <w:jc w:val="both"/>
        <w:rPr>
          <w:rFonts w:ascii="Bookman Old Style" w:eastAsia="Times New Roman" w:hAnsi="Bookman Old Style"/>
          <w:b/>
          <w:bCs/>
          <w:sz w:val="20"/>
          <w:szCs w:val="20"/>
        </w:rPr>
      </w:pPr>
      <w:r w:rsidRPr="009A06AE">
        <w:rPr>
          <w:rFonts w:ascii="Bookman Old Style" w:eastAsia="Times New Roman" w:hAnsi="Bookman Old Style"/>
          <w:b/>
          <w:bCs/>
          <w:sz w:val="20"/>
          <w:szCs w:val="20"/>
        </w:rPr>
        <w:t>04 122 0045 GESTÃO POLÍTICO ADMINISTRATIVA</w:t>
      </w:r>
    </w:p>
    <w:p w14:paraId="1B7ADB6C" w14:textId="189A1C30" w:rsidR="009A06AE" w:rsidRPr="009A06AE" w:rsidRDefault="00AB14D1" w:rsidP="00AB14D1">
      <w:pPr>
        <w:spacing w:after="0" w:line="360" w:lineRule="auto"/>
        <w:jc w:val="both"/>
        <w:rPr>
          <w:rFonts w:ascii="Bookman Old Style" w:eastAsia="Times New Roman" w:hAnsi="Bookman Old Style"/>
          <w:b/>
          <w:bCs/>
          <w:sz w:val="20"/>
          <w:szCs w:val="20"/>
        </w:rPr>
      </w:pPr>
      <w:r w:rsidRPr="009A06AE">
        <w:rPr>
          <w:rFonts w:ascii="Bookman Old Style" w:eastAsia="Times New Roman" w:hAnsi="Bookman Old Style"/>
          <w:b/>
          <w:bCs/>
          <w:sz w:val="20"/>
          <w:szCs w:val="20"/>
        </w:rPr>
        <w:t>04 122 0045 2004 0000 MANUT. DO GABINETE DO PREFEITO E DEPENDÊNCIAS</w:t>
      </w:r>
    </w:p>
    <w:p w14:paraId="53407382" w14:textId="62A85EC3" w:rsidR="009A06AE" w:rsidRPr="009A06AE" w:rsidRDefault="00AB14D1" w:rsidP="00AB14D1">
      <w:pPr>
        <w:spacing w:after="0" w:line="360" w:lineRule="auto"/>
        <w:jc w:val="both"/>
        <w:rPr>
          <w:rFonts w:ascii="Bookman Old Style" w:eastAsia="Times New Roman" w:hAnsi="Bookman Old Style"/>
          <w:b/>
          <w:bCs/>
          <w:sz w:val="20"/>
          <w:szCs w:val="20"/>
        </w:rPr>
      </w:pPr>
      <w:r w:rsidRPr="009A06AE">
        <w:rPr>
          <w:rFonts w:ascii="Bookman Old Style" w:eastAsia="Times New Roman" w:hAnsi="Bookman Old Style"/>
          <w:b/>
          <w:bCs/>
          <w:sz w:val="20"/>
          <w:szCs w:val="20"/>
        </w:rPr>
        <w:t>0.3.90.39.00 OUTROS SERVIÇOS DE TERCEIROS - PESSOA JURÍDICA</w:t>
      </w:r>
    </w:p>
    <w:p w14:paraId="6A9C21AF" w14:textId="20429F66" w:rsidR="009A06AE" w:rsidRPr="009A06AE" w:rsidRDefault="00AB14D1" w:rsidP="00AB14D1">
      <w:pPr>
        <w:spacing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0"/>
          <w:szCs w:val="20"/>
        </w:rPr>
        <w:t>FICHA 38.</w:t>
      </w:r>
    </w:p>
    <w:p w14:paraId="02C52027"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6.2.</w:t>
      </w:r>
      <w:r w:rsidRPr="009A06AE">
        <w:rPr>
          <w:rFonts w:ascii="Bookman Old Style" w:eastAsia="Times New Roman" w:hAnsi="Bookman Old Style"/>
          <w:sz w:val="24"/>
          <w:szCs w:val="24"/>
        </w:rPr>
        <w:t xml:space="preserve"> Nos exercícios subsequentes, as despesas correrão à conta das dotações próprias consignadas nos respectivos orçamentos, caso a vigência ultrapasse o exercício inicial.</w:t>
      </w:r>
    </w:p>
    <w:p w14:paraId="5F6F2905"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lastRenderedPageBreak/>
        <w:t>CLÁUSULA SÉTIMA – DAS OBRIGAÇÕES DA CONTRATANTE</w:t>
      </w:r>
    </w:p>
    <w:p w14:paraId="46858F24"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7.1.</w:t>
      </w:r>
      <w:r w:rsidRPr="009A06AE">
        <w:rPr>
          <w:rFonts w:ascii="Bookman Old Style" w:eastAsia="Times New Roman" w:hAnsi="Bookman Old Style"/>
          <w:sz w:val="24"/>
          <w:szCs w:val="24"/>
        </w:rPr>
        <w:t xml:space="preserve"> Constituem obrigações da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w:t>
      </w:r>
    </w:p>
    <w:p w14:paraId="0CD13F42"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a)</w:t>
      </w:r>
      <w:r w:rsidRPr="009A06AE">
        <w:rPr>
          <w:rFonts w:ascii="Bookman Old Style" w:eastAsia="Times New Roman" w:hAnsi="Bookman Old Style"/>
          <w:sz w:val="24"/>
          <w:szCs w:val="24"/>
        </w:rPr>
        <w:t xml:space="preserve"> exigir o cumprimento integral do contrato, do Termo de Referência e da proposta;</w:t>
      </w:r>
    </w:p>
    <w:p w14:paraId="52747F06"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b)</w:t>
      </w:r>
      <w:r w:rsidRPr="009A06AE">
        <w:rPr>
          <w:rFonts w:ascii="Bookman Old Style" w:eastAsia="Times New Roman" w:hAnsi="Bookman Old Style"/>
          <w:sz w:val="24"/>
          <w:szCs w:val="24"/>
        </w:rPr>
        <w:t xml:space="preserve"> acompanhar, gerir e fiscalizar a execução do objeto;</w:t>
      </w:r>
    </w:p>
    <w:p w14:paraId="5A39DDEC"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c)</w:t>
      </w:r>
      <w:r w:rsidRPr="009A06AE">
        <w:rPr>
          <w:rFonts w:ascii="Bookman Old Style" w:eastAsia="Times New Roman" w:hAnsi="Bookman Old Style"/>
          <w:sz w:val="24"/>
          <w:szCs w:val="24"/>
        </w:rPr>
        <w:t xml:space="preserve"> emitir ordens de serviço, diretrizes operacionais e demais atos necessários à execução, quando cabível;</w:t>
      </w:r>
    </w:p>
    <w:p w14:paraId="79039147"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d)</w:t>
      </w:r>
      <w:r w:rsidRPr="009A06AE">
        <w:rPr>
          <w:rFonts w:ascii="Bookman Old Style" w:eastAsia="Times New Roman" w:hAnsi="Bookman Old Style"/>
          <w:sz w:val="24"/>
          <w:szCs w:val="24"/>
        </w:rPr>
        <w:t xml:space="preserve"> efetuar os pagamentos devidos na forma e nos prazos contratados;</w:t>
      </w:r>
    </w:p>
    <w:p w14:paraId="18E95C3D"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e)</w:t>
      </w:r>
      <w:r w:rsidRPr="009A06AE">
        <w:rPr>
          <w:rFonts w:ascii="Bookman Old Style" w:eastAsia="Times New Roman" w:hAnsi="Bookman Old Style"/>
          <w:sz w:val="24"/>
          <w:szCs w:val="24"/>
        </w:rPr>
        <w:t xml:space="preserve"> comunicar formalmente as irregularidades verificadas e aplicar as sanções cabíveis, assegurado o contraditório e a ampla defesa;</w:t>
      </w:r>
    </w:p>
    <w:p w14:paraId="4B8444FC"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f)</w:t>
      </w:r>
      <w:r w:rsidRPr="009A06AE">
        <w:rPr>
          <w:rFonts w:ascii="Bookman Old Style" w:eastAsia="Times New Roman" w:hAnsi="Bookman Old Style"/>
          <w:sz w:val="24"/>
          <w:szCs w:val="24"/>
        </w:rPr>
        <w:t xml:space="preserve"> receber o objeto provisória e definitivamente, quando cabível;</w:t>
      </w:r>
    </w:p>
    <w:p w14:paraId="2C57538F"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g)</w:t>
      </w:r>
      <w:r w:rsidRPr="009A06AE">
        <w:rPr>
          <w:rFonts w:ascii="Bookman Old Style" w:eastAsia="Times New Roman" w:hAnsi="Bookman Old Style"/>
          <w:sz w:val="24"/>
          <w:szCs w:val="24"/>
        </w:rPr>
        <w:t xml:space="preserve"> fornecer tempestivamente à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os documentos, dados, informações e acessos necessários à execução do objeto, ressalvadas as restrições legais aplicáveis;</w:t>
      </w:r>
    </w:p>
    <w:p w14:paraId="2D2D70E3"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h)</w:t>
      </w:r>
      <w:r w:rsidRPr="009A06AE">
        <w:rPr>
          <w:rFonts w:ascii="Bookman Old Style" w:eastAsia="Times New Roman" w:hAnsi="Bookman Old Style"/>
          <w:sz w:val="24"/>
          <w:szCs w:val="24"/>
        </w:rPr>
        <w:t xml:space="preserve"> encaminhar em tempo oportuno os elementos técnicos necessários ao cumprimento dos prazos regulatórios e operacionais da contratação;</w:t>
      </w:r>
    </w:p>
    <w:p w14:paraId="4350896F"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i)</w:t>
      </w:r>
      <w:r w:rsidRPr="009A06AE">
        <w:rPr>
          <w:rFonts w:ascii="Bookman Old Style" w:eastAsia="Times New Roman" w:hAnsi="Bookman Old Style"/>
          <w:sz w:val="24"/>
          <w:szCs w:val="24"/>
        </w:rPr>
        <w:t xml:space="preserve"> definir, no início da execução contratual, ponto focal ou rotina interna mínima para o encaminhamento de demandas, documentos, validações e retornos necessários à adequada execução do objeto.</w:t>
      </w:r>
    </w:p>
    <w:p w14:paraId="03B5406B"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t>CLÁUSULA OITAVA – DAS OBRIGAÇÕES DA CONTRATADA</w:t>
      </w:r>
    </w:p>
    <w:p w14:paraId="5B74FB39"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8.1.</w:t>
      </w:r>
      <w:r w:rsidRPr="009A06AE">
        <w:rPr>
          <w:rFonts w:ascii="Bookman Old Style" w:eastAsia="Times New Roman" w:hAnsi="Bookman Old Style"/>
          <w:sz w:val="24"/>
          <w:szCs w:val="24"/>
        </w:rPr>
        <w:t xml:space="preserve"> Constituem obrigações da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w:t>
      </w:r>
    </w:p>
    <w:p w14:paraId="31D695F2"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sz w:val="24"/>
          <w:szCs w:val="24"/>
        </w:rPr>
        <w:t>a)</w:t>
      </w:r>
      <w:r w:rsidRPr="009A06AE">
        <w:rPr>
          <w:rFonts w:ascii="Bookman Old Style" w:eastAsia="Times New Roman" w:hAnsi="Bookman Old Style"/>
          <w:bCs/>
          <w:sz w:val="24"/>
          <w:szCs w:val="24"/>
        </w:rPr>
        <w:t xml:space="preserve"> </w:t>
      </w:r>
      <w:r w:rsidRPr="009A06AE">
        <w:rPr>
          <w:rFonts w:ascii="Bookman Old Style" w:eastAsia="Times New Roman" w:hAnsi="Bookman Old Style"/>
          <w:sz w:val="24"/>
          <w:szCs w:val="24"/>
        </w:rPr>
        <w:t>executar o objeto com observância deste contrato, do Termo de Referência e da proposta apresentada;</w:t>
      </w:r>
    </w:p>
    <w:p w14:paraId="10432F65"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b)</w:t>
      </w:r>
      <w:r w:rsidRPr="009A06AE">
        <w:rPr>
          <w:rFonts w:ascii="Bookman Old Style" w:eastAsia="Times New Roman" w:hAnsi="Bookman Old Style"/>
          <w:sz w:val="24"/>
          <w:szCs w:val="24"/>
        </w:rPr>
        <w:t xml:space="preserve"> manter, durante toda a execução, as condições de habilitação e qualificação exigidas;</w:t>
      </w:r>
    </w:p>
    <w:p w14:paraId="7C7DFE4B"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c)</w:t>
      </w:r>
      <w:r w:rsidRPr="009A06AE">
        <w:rPr>
          <w:rFonts w:ascii="Bookman Old Style" w:eastAsia="Times New Roman" w:hAnsi="Bookman Old Style"/>
          <w:sz w:val="24"/>
          <w:szCs w:val="24"/>
        </w:rPr>
        <w:t xml:space="preserve"> responder por todos os encargos trabalhistas, previdenciários, fiscais e comerciais incidentes;</w:t>
      </w:r>
    </w:p>
    <w:p w14:paraId="089183D4"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d)</w:t>
      </w:r>
      <w:r w:rsidRPr="009A06AE">
        <w:rPr>
          <w:rFonts w:ascii="Bookman Old Style" w:eastAsia="Times New Roman" w:hAnsi="Bookman Old Style"/>
          <w:sz w:val="24"/>
          <w:szCs w:val="24"/>
        </w:rPr>
        <w:t xml:space="preserve"> reparar, corrigir, remover, refazer ou substituir, às suas expensas, os serviços executados com vício, defeito ou desconformidade;</w:t>
      </w:r>
    </w:p>
    <w:p w14:paraId="517B03CD"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e)</w:t>
      </w:r>
      <w:r w:rsidRPr="009A06AE">
        <w:rPr>
          <w:rFonts w:ascii="Bookman Old Style" w:eastAsia="Times New Roman" w:hAnsi="Bookman Old Style"/>
          <w:sz w:val="24"/>
          <w:szCs w:val="24"/>
        </w:rPr>
        <w:t xml:space="preserve"> comunicar imediatamente fatos que possam comprometer o prazo, a qualidade ou a continuidade da execução;</w:t>
      </w:r>
    </w:p>
    <w:p w14:paraId="774DBA9E"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f)</w:t>
      </w:r>
      <w:r w:rsidRPr="009A06AE">
        <w:rPr>
          <w:rFonts w:ascii="Bookman Old Style" w:eastAsia="Times New Roman" w:hAnsi="Bookman Old Style"/>
          <w:sz w:val="24"/>
          <w:szCs w:val="24"/>
        </w:rPr>
        <w:t xml:space="preserve"> indicar preposto quando exigido e atender prontamente às determinações do gestor e do fiscal do contrato;</w:t>
      </w:r>
    </w:p>
    <w:p w14:paraId="7BFD35DB" w14:textId="519089F2" w:rsidR="009A06AE" w:rsidRPr="009A06AE" w:rsidRDefault="00991768" w:rsidP="009A06AE">
      <w:pPr>
        <w:spacing w:before="480" w:after="480" w:line="360" w:lineRule="auto"/>
        <w:ind w:firstLine="1134"/>
        <w:jc w:val="both"/>
        <w:rPr>
          <w:rFonts w:ascii="Bookman Old Style" w:eastAsia="Times New Roman" w:hAnsi="Bookman Old Style"/>
          <w:sz w:val="24"/>
          <w:szCs w:val="24"/>
        </w:rPr>
      </w:pPr>
      <w:r w:rsidRPr="00991768">
        <w:rPr>
          <w:rFonts w:ascii="Bookman Old Style" w:eastAsia="Times New Roman" w:hAnsi="Bookman Old Style"/>
          <w:b/>
          <w:bCs/>
          <w:sz w:val="24"/>
          <w:szCs w:val="24"/>
        </w:rPr>
        <w:t>g)</w:t>
      </w:r>
      <w:r w:rsidRPr="00991768">
        <w:rPr>
          <w:rFonts w:ascii="Bookman Old Style" w:eastAsia="Times New Roman" w:hAnsi="Bookman Old Style"/>
          <w:sz w:val="24"/>
          <w:szCs w:val="24"/>
        </w:rPr>
        <w:t xml:space="preserve"> disponibilizar profissional habilitado com qualificação compatível com o objeto e manter, quando exigível, registro regular perante o Conselho Regional de Contabilidade – CRC;</w:t>
      </w:r>
    </w:p>
    <w:p w14:paraId="3C081981"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h)</w:t>
      </w:r>
      <w:r w:rsidRPr="009A06AE">
        <w:rPr>
          <w:rFonts w:ascii="Bookman Old Style" w:eastAsia="Times New Roman" w:hAnsi="Bookman Old Style"/>
          <w:sz w:val="24"/>
          <w:szCs w:val="24"/>
        </w:rPr>
        <w:t xml:space="preserve"> realizar os atendimentos presenciais quando solicitados pela Administração e prestar suporte remoto em nível compatível com a demanda do período;</w:t>
      </w:r>
    </w:p>
    <w:p w14:paraId="1DC748F3"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i)</w:t>
      </w:r>
      <w:r w:rsidRPr="009A06AE">
        <w:rPr>
          <w:rFonts w:ascii="Bookman Old Style" w:eastAsia="Times New Roman" w:hAnsi="Bookman Old Style"/>
          <w:sz w:val="24"/>
          <w:szCs w:val="24"/>
        </w:rPr>
        <w:t xml:space="preserve"> apresentar relatório mensal das atividades executadas, contemplando as demandas atendidas, os produtos e arquivos entregues, as orientações prestadas, as inconsistências identificadas, os ajustes promovidos, as pendências remanescentes e os encaminhamentos sugeridos;</w:t>
      </w:r>
    </w:p>
    <w:p w14:paraId="01465904"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j)</w:t>
      </w:r>
      <w:r w:rsidRPr="009A06AE">
        <w:rPr>
          <w:rFonts w:ascii="Bookman Old Style" w:eastAsia="Times New Roman" w:hAnsi="Bookman Old Style"/>
          <w:sz w:val="24"/>
          <w:szCs w:val="24"/>
        </w:rPr>
        <w:t xml:space="preserve"> manter o responsável técnico indicado nos autos, admitida substituição somente por profissional com qualificação equivalente ou superior, mediante anuência formal prévia da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w:t>
      </w:r>
    </w:p>
    <w:p w14:paraId="02D18D8D"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k)</w:t>
      </w:r>
      <w:r w:rsidRPr="009A06AE">
        <w:rPr>
          <w:rFonts w:ascii="Bookman Old Style" w:eastAsia="Times New Roman" w:hAnsi="Bookman Old Style"/>
          <w:sz w:val="24"/>
          <w:szCs w:val="24"/>
        </w:rPr>
        <w:t xml:space="preserve"> observar rigorosamente os limites do objeto contratado, sendo vedada a assunção de competências decisórias da Administração, a prática de atos privativos de autoridade pública ou a subscrição de documentos cuja assinatura seja legalmente reservada ao contador responsável, ao gestor ou à autoridade competente do Município.</w:t>
      </w:r>
    </w:p>
    <w:p w14:paraId="785F2DFD" w14:textId="77777777" w:rsidR="00561565" w:rsidRDefault="009A385D">
      <w:pPr>
        <w:spacing w:before="480" w:after="480" w:line="360" w:lineRule="auto"/>
        <w:ind w:firstLine="1134"/>
        <w:jc w:val="both"/>
        <w:rPr>
          <w:rFonts w:ascii="Bookman Old Style" w:eastAsia="Times New Roman" w:hAnsi="Bookman Old Style"/>
          <w:sz w:val="24"/>
          <w:szCs w:val="24"/>
        </w:rPr>
      </w:pPr>
      <w:r w:rsidRPr="004204C8">
        <w:rPr>
          <w:rFonts w:ascii="Bookman Old Style" w:eastAsia="Times New Roman" w:hAnsi="Bookman Old Style"/>
          <w:b/>
          <w:bCs/>
          <w:sz w:val="24"/>
          <w:szCs w:val="24"/>
        </w:rPr>
        <w:t>l)</w:t>
      </w:r>
      <w:r>
        <w:rPr>
          <w:rFonts w:ascii="Bookman Old Style" w:eastAsia="Times New Roman" w:hAnsi="Bookman Old Style"/>
          <w:sz w:val="24"/>
          <w:szCs w:val="24"/>
        </w:rPr>
        <w:t xml:space="preserve"> cumprir, durante toda a execução contratual, as obrigações relativas às reservas legais de cargos para pessoa com deficiência, reabilitado da Previdência Social e aprendiz, quando aplicáveis, bem como comprovar seu atendimento sempre que solicitado pela </w:t>
      </w:r>
      <w:r w:rsidRPr="004204C8">
        <w:rPr>
          <w:rFonts w:ascii="Bookman Old Style" w:eastAsia="Times New Roman" w:hAnsi="Bookman Old Style"/>
          <w:b/>
          <w:bCs/>
          <w:sz w:val="24"/>
          <w:szCs w:val="24"/>
        </w:rPr>
        <w:t>CONTRATANTE</w:t>
      </w:r>
      <w:r>
        <w:rPr>
          <w:rFonts w:ascii="Bookman Old Style" w:eastAsia="Times New Roman" w:hAnsi="Bookman Old Style"/>
          <w:sz w:val="24"/>
          <w:szCs w:val="24"/>
        </w:rPr>
        <w:t>.</w:t>
      </w:r>
    </w:p>
    <w:p w14:paraId="3C301C50"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8.2.</w:t>
      </w:r>
      <w:r w:rsidRPr="009A06AE">
        <w:rPr>
          <w:rFonts w:ascii="Bookman Old Style" w:eastAsia="Times New Roman" w:hAnsi="Bookman Old Style"/>
          <w:sz w:val="24"/>
          <w:szCs w:val="24"/>
        </w:rPr>
        <w:t xml:space="preserve"> A inadimplência da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quanto aos encargos acima não transfere 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a responsabilidade por seu pagamento.</w:t>
      </w:r>
    </w:p>
    <w:p w14:paraId="1CBAEFFB"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t>CLÁUSULA NONA – DA SUBCONTRATAÇÃO</w:t>
      </w:r>
    </w:p>
    <w:p w14:paraId="4A954347" w14:textId="77777777" w:rsidR="009A06AE" w:rsidRPr="004204C8" w:rsidRDefault="009A06AE" w:rsidP="009A06AE">
      <w:pPr>
        <w:spacing w:before="480" w:after="480" w:line="360" w:lineRule="auto"/>
        <w:ind w:firstLine="1134"/>
        <w:jc w:val="both"/>
        <w:rPr>
          <w:rFonts w:ascii="Bookman Old Style" w:eastAsia="Times New Roman" w:hAnsi="Bookman Old Style"/>
          <w:sz w:val="24"/>
          <w:szCs w:val="24"/>
        </w:rPr>
      </w:pPr>
      <w:r w:rsidRPr="004204C8">
        <w:rPr>
          <w:rFonts w:ascii="Bookman Old Style" w:eastAsia="Times New Roman" w:hAnsi="Bookman Old Style"/>
          <w:b/>
          <w:bCs/>
          <w:sz w:val="24"/>
          <w:szCs w:val="24"/>
        </w:rPr>
        <w:t>9.1.</w:t>
      </w:r>
      <w:r w:rsidRPr="004204C8">
        <w:rPr>
          <w:rFonts w:ascii="Bookman Old Style" w:hAnsi="Bookman Old Style"/>
          <w:sz w:val="24"/>
          <w:szCs w:val="24"/>
        </w:rPr>
        <w:t xml:space="preserve"> Não será admitida a subcontratação do objeto, ressalvadas apenas atividades acessórias e instrumentais que não importem transferência da responsabilidade técnica, da coordenação da execução ou do núcleo essencial dos serviços, e desde que previamente autorizadas pela </w:t>
      </w:r>
      <w:r w:rsidRPr="004204C8">
        <w:rPr>
          <w:rFonts w:ascii="Bookman Old Style" w:hAnsi="Bookman Old Style"/>
          <w:b/>
          <w:bCs/>
          <w:sz w:val="24"/>
          <w:szCs w:val="24"/>
        </w:rPr>
        <w:t>CONTRATANTE</w:t>
      </w:r>
      <w:r w:rsidRPr="004204C8">
        <w:rPr>
          <w:rFonts w:ascii="Bookman Old Style" w:hAnsi="Bookman Old Style"/>
          <w:sz w:val="24"/>
          <w:szCs w:val="24"/>
        </w:rPr>
        <w:t>.</w:t>
      </w:r>
    </w:p>
    <w:p w14:paraId="5B42E57D"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9.2.</w:t>
      </w:r>
      <w:r w:rsidRPr="009A06AE">
        <w:rPr>
          <w:rFonts w:ascii="Bookman Old Style" w:eastAsia="Times New Roman" w:hAnsi="Bookman Old Style"/>
          <w:sz w:val="24"/>
          <w:szCs w:val="24"/>
        </w:rPr>
        <w:t xml:space="preserve"> É vedada a subcontratação integral do objeto.</w:t>
      </w:r>
    </w:p>
    <w:p w14:paraId="306ADF6D"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lastRenderedPageBreak/>
        <w:t>CLÁUSULA DÉCIMA – DA GARANTIA CONTRATUAL</w:t>
      </w:r>
    </w:p>
    <w:p w14:paraId="0F0A2B79"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10.1.</w:t>
      </w:r>
      <w:r w:rsidRPr="009A06AE">
        <w:rPr>
          <w:rFonts w:ascii="Bookman Old Style" w:eastAsia="Times New Roman" w:hAnsi="Bookman Old Style"/>
          <w:sz w:val="24"/>
          <w:szCs w:val="24"/>
        </w:rPr>
        <w:t xml:space="preserve"> Não será exigida garantia de execução, sem prejuízo da responsabilização integral da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por perdas, danos, multas e demais consequências do inadimplemento.</w:t>
      </w:r>
    </w:p>
    <w:p w14:paraId="14327064"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color w:val="156082" w:themeColor="accent1"/>
          <w:sz w:val="24"/>
          <w:szCs w:val="24"/>
        </w:rPr>
      </w:pPr>
      <w:r w:rsidRPr="009A06AE">
        <w:rPr>
          <w:rFonts w:ascii="Bookman Old Style" w:eastAsiaTheme="majorEastAsia" w:hAnsi="Bookman Old Style" w:cstheme="majorBidi"/>
          <w:b/>
          <w:bCs/>
          <w:sz w:val="24"/>
          <w:szCs w:val="24"/>
        </w:rPr>
        <w:t>CLÁUSULA DÉCIMA PRIMEIRA – DA GESTÃO, DA FISCALIZAÇÃO E DO RECEBIMENTO</w:t>
      </w:r>
    </w:p>
    <w:p w14:paraId="6E0E5EFA" w14:textId="77777777" w:rsidR="009A06AE" w:rsidRPr="009A06AE" w:rsidRDefault="009A06AE" w:rsidP="009A06AE">
      <w:pPr>
        <w:spacing w:before="480" w:after="480" w:line="360" w:lineRule="auto"/>
        <w:ind w:firstLine="1134"/>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11.1.</w:t>
      </w:r>
      <w:r w:rsidRPr="009A06AE">
        <w:rPr>
          <w:rFonts w:ascii="Bookman Old Style" w:eastAsia="Times New Roman" w:hAnsi="Bookman Old Style"/>
          <w:sz w:val="24"/>
          <w:szCs w:val="24"/>
        </w:rPr>
        <w:t xml:space="preserve"> A execução do contrato será acompanhada e fiscalizada por representantes da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formalmente designados, observada a regulamentação municipal aplicável.</w:t>
      </w:r>
    </w:p>
    <w:p w14:paraId="385E94EE" w14:textId="71E75692" w:rsidR="009A06AE" w:rsidRPr="009A06AE" w:rsidRDefault="009A06AE" w:rsidP="009A06AE">
      <w:pPr>
        <w:spacing w:before="480" w:after="480" w:line="360" w:lineRule="auto"/>
        <w:ind w:firstLine="1134"/>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11.1.1.</w:t>
      </w:r>
      <w:r w:rsidRPr="009A06AE">
        <w:rPr>
          <w:rFonts w:ascii="Bookman Old Style" w:eastAsia="Times New Roman" w:hAnsi="Bookman Old Style"/>
          <w:sz w:val="24"/>
          <w:szCs w:val="24"/>
        </w:rPr>
        <w:t xml:space="preserve"> A gestão do contrato caberá ao Departamento de Gestão de Contratos, nos termos do Decreto Municipal nº 1.933/2024. A fiscalização da execução será exercida por fiscal do contrato designado por Portaria Municipal, podendo haver, se cabível, apoio técnico ou administrativo de outros servidores.</w:t>
      </w:r>
    </w:p>
    <w:p w14:paraId="1F844EE5"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11.1.2.</w:t>
      </w:r>
      <w:r w:rsidRPr="009A06AE">
        <w:rPr>
          <w:rFonts w:ascii="Bookman Old Style" w:eastAsia="Times New Roman" w:hAnsi="Bookman Old Style"/>
          <w:sz w:val="24"/>
          <w:szCs w:val="24"/>
        </w:rPr>
        <w:t xml:space="preserve"> Compete à fiscalização acompanhar a execução do objeto, registrar ocorrências, controlar prazos de obrigações mensais e anuais, exigir a correção de falhas, atestar a execução dos serviços para fins de medição e pagamento, subsidiar eventual aplicação de penalidades e </w:t>
      </w:r>
      <w:r w:rsidRPr="009A06AE">
        <w:rPr>
          <w:rFonts w:ascii="Bookman Old Style" w:eastAsia="Times New Roman" w:hAnsi="Bookman Old Style"/>
          <w:sz w:val="24"/>
          <w:szCs w:val="24"/>
        </w:rPr>
        <w:lastRenderedPageBreak/>
        <w:t>comunicar à autoridade competente e ao gestor do contrato qualquer risco relevante de descumprimento contratual ou de perda de prazos legais.</w:t>
      </w:r>
    </w:p>
    <w:p w14:paraId="31D37844" w14:textId="77777777" w:rsidR="009A06AE" w:rsidRPr="009A06AE" w:rsidRDefault="009A06AE" w:rsidP="009A06AE">
      <w:pPr>
        <w:spacing w:before="480" w:after="480" w:line="360" w:lineRule="auto"/>
        <w:ind w:firstLine="1134"/>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11.1.3.</w:t>
      </w:r>
      <w:r w:rsidRPr="009A06AE">
        <w:rPr>
          <w:rFonts w:ascii="Bookman Old Style" w:eastAsia="Times New Roman" w:hAnsi="Bookman Old Style"/>
          <w:sz w:val="24"/>
          <w:szCs w:val="24"/>
        </w:rPr>
        <w:t xml:space="preserve"> Compete ao gestor do contrato, por intermédio do Departamento de Gestão de Contratos, praticar os atos de gestão administrativa do ajuste, inclusive acompanhamento documental, tramitação de termos aditivos, apostilamentos, recebimentos contratuais e demais providências previstas na regulamentação municipal.</w:t>
      </w:r>
    </w:p>
    <w:p w14:paraId="18B990B6"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11.2.</w:t>
      </w:r>
      <w:r w:rsidRPr="009A06AE">
        <w:rPr>
          <w:rFonts w:ascii="Bookman Old Style" w:eastAsia="Times New Roman" w:hAnsi="Bookman Old Style"/>
          <w:sz w:val="24"/>
          <w:szCs w:val="24"/>
        </w:rPr>
        <w:t xml:space="preserve"> O recebimento da execução observará o art. 140 da Lei nº 14.133/2021, o Decreto Municipal nº 1.933/2024 e o Termo de Referência. O atesto mensal para fins de pagamento dependerá da verificação, pelo fiscal do contrato, do relatório mensal, dos registros de atendimento presencial e remoto, das evidências de remessas, correções e entregas realizadas no período e da conformidade da parcela executada. O recebimento definitivo, quando cabível, será formalizado na forma disciplinada pela Administração, com participação da gestão contratual e sem prejuízo da responsabilização da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por falhas posteriormente identificadas.</w:t>
      </w:r>
    </w:p>
    <w:p w14:paraId="21F15EF3"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11.3.</w:t>
      </w:r>
      <w:r w:rsidRPr="009A06AE">
        <w:rPr>
          <w:rFonts w:ascii="Bookman Old Style" w:eastAsia="Times New Roman" w:hAnsi="Bookman Old Style"/>
          <w:sz w:val="24"/>
          <w:szCs w:val="24"/>
        </w:rPr>
        <w:t xml:space="preserve"> O recebimento não exclui a responsabilidade da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pela qualidade, correção e adequação dos serviços prestados.</w:t>
      </w:r>
    </w:p>
    <w:p w14:paraId="43D45908"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11.4.</w:t>
      </w:r>
      <w:r w:rsidRPr="009A06AE">
        <w:rPr>
          <w:rFonts w:ascii="Bookman Old Style" w:eastAsia="Times New Roman" w:hAnsi="Bookman Old Style"/>
          <w:sz w:val="24"/>
          <w:szCs w:val="24"/>
        </w:rPr>
        <w:t xml:space="preserve"> As comunicações entre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e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ocorrerão por </w:t>
      </w:r>
      <w:r w:rsidRPr="009A06AE">
        <w:rPr>
          <w:rFonts w:ascii="Bookman Old Style" w:eastAsia="Times New Roman" w:hAnsi="Bookman Old Style"/>
          <w:i/>
          <w:iCs/>
          <w:sz w:val="24"/>
          <w:szCs w:val="24"/>
        </w:rPr>
        <w:t>e-mail</w:t>
      </w:r>
      <w:r w:rsidRPr="009A06AE">
        <w:rPr>
          <w:rFonts w:ascii="Bookman Old Style" w:eastAsia="Times New Roman" w:hAnsi="Bookman Old Style"/>
          <w:sz w:val="24"/>
          <w:szCs w:val="24"/>
        </w:rPr>
        <w:t xml:space="preserve"> oficial, ofício, telefone institucional, reuniões presenciais e outros meios formais aceitos pela Administração, sendo consideradas válidas as notificações encaminhadas aos endereços e contatos informados no contrato.</w:t>
      </w:r>
    </w:p>
    <w:p w14:paraId="4468700E"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t>CLÁUSULA DÉCIMA SEGUNDA – DAS ALTERAÇÕES CONTRATUAIS</w:t>
      </w:r>
    </w:p>
    <w:p w14:paraId="759FB55B"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12.1.</w:t>
      </w:r>
      <w:r w:rsidRPr="009A06AE">
        <w:rPr>
          <w:rFonts w:ascii="Bookman Old Style" w:eastAsia="Times New Roman" w:hAnsi="Bookman Old Style"/>
          <w:sz w:val="24"/>
          <w:szCs w:val="24"/>
        </w:rPr>
        <w:t xml:space="preserve"> O contrato poderá ser alterado nas hipóteses legalmente admitidas, mediante termo aditivo ou apostilamento, conforme a natureza da modificação.</w:t>
      </w:r>
    </w:p>
    <w:p w14:paraId="0AFD4FF5"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12.2.</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fica obrigada a aceitar os acréscimos e supressões legalmente cabíveis, nos limites previstos em lei.</w:t>
      </w:r>
    </w:p>
    <w:p w14:paraId="32F1330F"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color w:val="156082" w:themeColor="accent1"/>
          <w:sz w:val="24"/>
          <w:szCs w:val="24"/>
        </w:rPr>
      </w:pPr>
      <w:r w:rsidRPr="009A06AE">
        <w:rPr>
          <w:rFonts w:ascii="Bookman Old Style" w:eastAsiaTheme="majorEastAsia" w:hAnsi="Bookman Old Style" w:cstheme="majorBidi"/>
          <w:b/>
          <w:bCs/>
          <w:sz w:val="24"/>
          <w:szCs w:val="24"/>
        </w:rPr>
        <w:t>CLÁUSULA DÉCIMA TERCEIRA – DAS INFRAÇÕES E SANÇÕES ADMINISTRATIVAS</w:t>
      </w:r>
    </w:p>
    <w:p w14:paraId="76742942"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13.1.</w:t>
      </w:r>
      <w:r>
        <w:rPr>
          <w:rFonts w:ascii="Bookman Old Style" w:eastAsia="Times New Roman" w:hAnsi="Bookman Old Style"/>
          <w:sz w:val="24"/>
          <w:szCs w:val="24"/>
        </w:rPr>
        <w:t xml:space="preserve"> Constitui infração administrativa, nos termos do art. 155 da Lei nº 14.133/2021, a prática, pelo licitante ou pela CONTRATADA, de qualquer das seguintes condutas: dar causa à inexecução parcial ou total do contrato; dar causa à inexecução parcial que cause grave dano à Administração, ao funcionamento dos serviços públicos ou ao interesse coletivo; deixar de entregar documentação exigida; não manter a proposta, </w:t>
      </w:r>
      <w:r>
        <w:rPr>
          <w:rFonts w:ascii="Bookman Old Style" w:eastAsia="Times New Roman" w:hAnsi="Bookman Old Style"/>
          <w:sz w:val="24"/>
          <w:szCs w:val="24"/>
        </w:rPr>
        <w:lastRenderedPageBreak/>
        <w:t>salvo fato superveniente devidamente justificado; não celebrar o contrato ou não entregar documentação para a contratação quando convocado no prazo de validade da proposta; retardar injustificadamente a execução; apresentar declaração ou documentação falsa; fraudar a contratação ou a execução; comportar-se de modo inidôneo ou cometer fraude; praticar ato ilícito destinado a frustrar os objetivos da contratação; ou praticar ato lesivo previsto no art. 5º da Lei nº 12.846/2013.</w:t>
      </w:r>
    </w:p>
    <w:p w14:paraId="615FCDF9"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13.2.</w:t>
      </w:r>
      <w:r>
        <w:rPr>
          <w:rFonts w:ascii="Bookman Old Style" w:eastAsia="Times New Roman" w:hAnsi="Bookman Old Style"/>
          <w:sz w:val="24"/>
          <w:szCs w:val="24"/>
        </w:rPr>
        <w:t xml:space="preserve"> Observados o devido processo legal, o contraditório e a ampla defesa, poderão ser aplicadas as sanções de advertência, multa, impedimento de licitar e contratar e declaração de inidoneidade para licitar ou contratar, nas hipóteses, condições, competências e prazos previstos nos arts. 156 a 163 da Lei nº 14.133/2021 e na regulamentação municipal.</w:t>
      </w:r>
    </w:p>
    <w:p w14:paraId="336DB32F"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13.3.</w:t>
      </w:r>
      <w:r>
        <w:rPr>
          <w:rFonts w:ascii="Bookman Old Style" w:eastAsia="Times New Roman" w:hAnsi="Bookman Old Style"/>
          <w:sz w:val="24"/>
          <w:szCs w:val="24"/>
        </w:rPr>
        <w:t xml:space="preserve"> A advertência será aplicada exclusivamente à inexecução parcial que não justifique penalidade mais grave. O impedimento de licitar e contratar poderá ser aplicado pelo prazo máximo de 3 (três) anos nas hipóteses legais, quando não couber sanção mais grave. A declaração de inidoneidade será aplicada pelo prazo de 3 (três) a 6 (seis) anos nas hipóteses legalmente previstas e dependerá de análise jurídica prévia e da autoridade competente.</w:t>
      </w:r>
    </w:p>
    <w:p w14:paraId="127FD0DE"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13.4.</w:t>
      </w:r>
      <w:r>
        <w:rPr>
          <w:rFonts w:ascii="Bookman Old Style" w:eastAsia="Times New Roman" w:hAnsi="Bookman Old Style"/>
          <w:sz w:val="24"/>
          <w:szCs w:val="24"/>
        </w:rPr>
        <w:t xml:space="preserve"> O atraso injustificado sujeitará a CONTRATADA à multa moratória de 0,5% (cinco décimos por cento) por dia de atraso sobre o valor da parcela inadimplida, limitada a 10% (dez por cento). A mora superior a </w:t>
      </w:r>
      <w:r>
        <w:rPr>
          <w:rFonts w:ascii="Bookman Old Style" w:eastAsia="Times New Roman" w:hAnsi="Bookman Old Style"/>
          <w:sz w:val="24"/>
          <w:szCs w:val="24"/>
        </w:rPr>
        <w:lastRenderedPageBreak/>
        <w:t>20 (vinte) dias, ou que torne inútil a prestação, poderá caracterizar inexecução parcial ou total, com conversão da multa moratória em compensatória, vedada a dupla incidência sobre o mesmo fato.</w:t>
      </w:r>
    </w:p>
    <w:p w14:paraId="4C7C905E"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13.5.</w:t>
      </w:r>
      <w:r>
        <w:rPr>
          <w:rFonts w:ascii="Bookman Old Style" w:eastAsia="Times New Roman" w:hAnsi="Bookman Old Style"/>
          <w:sz w:val="24"/>
          <w:szCs w:val="24"/>
        </w:rPr>
        <w:t xml:space="preserve"> A inexecução parcial sujeitará a CONTRATADA à multa compensatória de 10% (dez por cento) sobre o valor da obrigação inadimplida; a inexecução total sujeitá-la-á à multa compensatória de 20% (vinte por cento) sobre o valor total do contrato. Em qualquer caso, a multa observará os limites do art. 156, § 3º, da Lei nº 14.133/2021 e poderá ser ajustada motivadamente segundo a gravidade da conduta e o dano produzido.</w:t>
      </w:r>
    </w:p>
    <w:p w14:paraId="61BB3712"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13.6.</w:t>
      </w:r>
      <w:r>
        <w:rPr>
          <w:rFonts w:ascii="Bookman Old Style" w:eastAsia="Times New Roman" w:hAnsi="Bookman Old Style"/>
          <w:sz w:val="24"/>
          <w:szCs w:val="24"/>
        </w:rPr>
        <w:t xml:space="preserve"> As sanções de advertência, impedimento e declaração de inidoneidade poderão ser aplicadas cumulativamente com multa, quando cabível. Na dosimetria serão considerados a natureza e a gravidade da infração, as peculiaridades do caso concreto, as circunstâncias agravantes e atenuantes, os danos causados e a implantação ou o aperfeiçoamento de programa de integridade.</w:t>
      </w:r>
    </w:p>
    <w:p w14:paraId="663C8DF8"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13.7.</w:t>
      </w:r>
      <w:r>
        <w:rPr>
          <w:rFonts w:ascii="Bookman Old Style" w:eastAsia="Times New Roman" w:hAnsi="Bookman Old Style"/>
          <w:sz w:val="24"/>
          <w:szCs w:val="24"/>
        </w:rPr>
        <w:t xml:space="preserve"> As multas e indenizações poderão ser descontadas dos créditos devidos à CONTRATADA ou cobradas administrativamente ou judicialmente. A aplicação das sanções não exclui a reparação integral do dano, nem impede a extinção do contrato quando legalmente cabível.</w:t>
      </w:r>
    </w:p>
    <w:p w14:paraId="3C1F5A88"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lastRenderedPageBreak/>
        <w:t>13.8.</w:t>
      </w:r>
      <w:r>
        <w:rPr>
          <w:rFonts w:ascii="Bookman Old Style" w:eastAsia="Times New Roman" w:hAnsi="Bookman Old Style"/>
          <w:sz w:val="24"/>
          <w:szCs w:val="24"/>
        </w:rPr>
        <w:t xml:space="preserve"> Havendo indícios de ato lesivo previsto na Lei nº 12.846/2013, a apuração observará o regime próprio, sem prejuízo do regular processamento das demais infrações administrativas e dos danos causados à Administração.</w:t>
      </w:r>
    </w:p>
    <w:p w14:paraId="23DC2763"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t>CLÁUSULA DÉCIMA QUARTA – DA EXTINÇÃO CONTRATUAL</w:t>
      </w:r>
    </w:p>
    <w:p w14:paraId="19E0DB6A"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14.1.</w:t>
      </w:r>
      <w:r>
        <w:rPr>
          <w:rFonts w:ascii="Bookman Old Style" w:eastAsia="Times New Roman" w:hAnsi="Bookman Old Style"/>
          <w:sz w:val="24"/>
          <w:szCs w:val="24"/>
        </w:rPr>
        <w:t xml:space="preserve"> Constituem motivos para extinção do contrato, mediante motivação formal nos autos e assegurados o contraditório e a ampla defesa: o não cumprimento ou o cumprimento irregular de cláusulas, especificações ou prazos; o desatendimento de determinações regulares da fiscalização ou de autoridade superior; alteração societária que restrinja a capacidade de concluir o contrato; falência, insolvência civil, dissolução ou falecimento do contratado; caso fortuito ou força maior impeditivos da execução; razões de interesse público justificadas pela autoridade máxima; e o descumprimento das obrigações relativas às reservas legais de cargos para pessoa com deficiência, reabilitado da Previdência Social ou aprendiz, além das demais hipóteses do art. 137 da Lei nº 14.133/2021 compatíveis com o objeto.</w:t>
      </w:r>
    </w:p>
    <w:p w14:paraId="624E3A56"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14.2.</w:t>
      </w:r>
      <w:r>
        <w:rPr>
          <w:rFonts w:ascii="Bookman Old Style" w:eastAsia="Times New Roman" w:hAnsi="Bookman Old Style"/>
          <w:sz w:val="24"/>
          <w:szCs w:val="24"/>
        </w:rPr>
        <w:t xml:space="preserve"> A CONTRATADA terá direito à extinção nas hipóteses do art. 137, § 2º, da Lei nº 14.133/2021, inclusive em caso de supressão além do limite legal, suspensão da execução por prazo superior a 3 (três) meses, repetidas suspensões que totalizem 90 (noventa) dias úteis, atraso de pagamento superior a 2 (dois) meses contado da emissão da nota fiscal ou </w:t>
      </w:r>
      <w:r>
        <w:rPr>
          <w:rFonts w:ascii="Bookman Old Style" w:eastAsia="Times New Roman" w:hAnsi="Bookman Old Style"/>
          <w:sz w:val="24"/>
          <w:szCs w:val="24"/>
        </w:rPr>
        <w:lastRenderedPageBreak/>
        <w:t>não liberação, pela Administração, de local ou elemento indispensável à execução, observadas as exceções e consequências previstas em lei.</w:t>
      </w:r>
    </w:p>
    <w:p w14:paraId="6E20E45C"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14.3.</w:t>
      </w:r>
      <w:r>
        <w:rPr>
          <w:rFonts w:ascii="Bookman Old Style" w:eastAsia="Times New Roman" w:hAnsi="Bookman Old Style"/>
          <w:sz w:val="24"/>
          <w:szCs w:val="24"/>
        </w:rPr>
        <w:t xml:space="preserve"> A extinção poderá ser determinada por ato unilateral e escrito da Administração, exceto quando o descumprimento decorrer de sua própria conduta; consensual, por acordo, conciliação, mediação ou comitê de resolução de disputas, desde que haja interesse público; ou determinada por decisão arbitral, se admitida, ou judicial.</w:t>
      </w:r>
    </w:p>
    <w:p w14:paraId="7EE58592"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14.4.</w:t>
      </w:r>
      <w:r>
        <w:rPr>
          <w:rFonts w:ascii="Bookman Old Style" w:eastAsia="Times New Roman" w:hAnsi="Bookman Old Style"/>
          <w:sz w:val="24"/>
          <w:szCs w:val="24"/>
        </w:rPr>
        <w:t xml:space="preserve"> A extinção unilateral e a consensual serão precedidas de autorização escrita e fundamentada da autoridade competente e reduzidas a termo no processo. Quando decorrer de culpa exclusiva da Administração, a CONTRATADA será ressarcida pelos prejuízos regularmente comprovados e terá direito aos pagamentos devidos até a data da extinção, ao custo de desmobilização e à devolução de eventual garantia.</w:t>
      </w:r>
    </w:p>
    <w:p w14:paraId="46421E76" w14:textId="77777777" w:rsidR="00561565" w:rsidRDefault="009A385D">
      <w:pPr>
        <w:spacing w:before="480" w:after="480" w:line="360" w:lineRule="auto"/>
        <w:ind w:firstLine="1134"/>
        <w:jc w:val="both"/>
        <w:rPr>
          <w:rFonts w:ascii="Bookman Old Style" w:eastAsia="Times New Roman" w:hAnsi="Bookman Old Style"/>
          <w:sz w:val="24"/>
          <w:szCs w:val="24"/>
        </w:rPr>
      </w:pPr>
      <w:r>
        <w:rPr>
          <w:rFonts w:ascii="Bookman Old Style" w:eastAsia="Times New Roman" w:hAnsi="Bookman Old Style"/>
          <w:b/>
          <w:bCs/>
          <w:sz w:val="24"/>
          <w:szCs w:val="24"/>
        </w:rPr>
        <w:t>14.5.</w:t>
      </w:r>
      <w:r>
        <w:rPr>
          <w:rFonts w:ascii="Bookman Old Style" w:eastAsia="Times New Roman" w:hAnsi="Bookman Old Style"/>
          <w:sz w:val="24"/>
          <w:szCs w:val="24"/>
        </w:rPr>
        <w:t xml:space="preserve"> A extinção unilateral poderá acarretar, sem prejuízo das sanções cabíveis, a assunção imediata do objeto, a ocupação e utilização de instalações, equipamentos, materiais e pessoal necessários à continuidade, a execução de eventual garantia e a retenção de créditos até o limite dos prejuízos e multas, observados os requisitos do art. 139 da Lei nº 14.133/2021.</w:t>
      </w:r>
    </w:p>
    <w:p w14:paraId="5994E59C"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sz w:val="24"/>
          <w:szCs w:val="24"/>
        </w:rPr>
      </w:pPr>
      <w:r w:rsidRPr="009A06AE">
        <w:rPr>
          <w:rFonts w:ascii="Bookman Old Style" w:eastAsiaTheme="majorEastAsia" w:hAnsi="Bookman Old Style" w:cstheme="majorBidi"/>
          <w:b/>
          <w:bCs/>
          <w:sz w:val="24"/>
          <w:szCs w:val="24"/>
        </w:rPr>
        <w:lastRenderedPageBreak/>
        <w:t>CLÁUSULA DÉCIMA QUINTA – DA PROTEÇÃO DE DADOS PESSOAIS, DA LGPD E DA CONFIDENCIALIDADE</w:t>
      </w:r>
    </w:p>
    <w:p w14:paraId="4039813E" w14:textId="574DC3EB"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15.1.</w:t>
      </w:r>
      <w:r w:rsidRPr="009A06AE">
        <w:rPr>
          <w:rFonts w:ascii="Bookman Old Style" w:eastAsia="Times New Roman" w:hAnsi="Bookman Old Style"/>
          <w:sz w:val="24"/>
          <w:szCs w:val="24"/>
        </w:rPr>
        <w:t xml:space="preserve"> As partes comprometem-se a observar integralmente a Lei Federal nº 13.709/2018 – Lei Geral de Proteção de Dados Pessoais (LGPD), adotando as medidas técnicas, administrativas e organizacionais adequadas à proteção dos dados pessoais eventualmente tratados em razão deste contrato.</w:t>
      </w:r>
    </w:p>
    <w:p w14:paraId="791FECC1"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15.2.</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obriga-se a manter absoluto sigilo sobre dados, documentos, cadastros, relatórios, informações pessoais, dados pessoais sensíveis e demais informações sigilosas ou protegidas por lei a que tiver acesso em razão da execução contratual, vedada sua divulgação, reprodução, utilização, retenção, alteração, compartilhamento, transferência ou qualquer forma de tratamento para finalidade diversa da estrita execução do objeto contratado.</w:t>
      </w:r>
    </w:p>
    <w:p w14:paraId="58CAA205"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15.3.</w:t>
      </w:r>
      <w:r w:rsidRPr="009A06AE">
        <w:rPr>
          <w:rFonts w:ascii="Bookman Old Style" w:eastAsia="Times New Roman" w:hAnsi="Bookman Old Style"/>
          <w:sz w:val="24"/>
          <w:szCs w:val="24"/>
        </w:rPr>
        <w:t xml:space="preserve"> O tratamento de dados pessoais realizado no âmbito deste contrato deverá observar, além da legalidade, os princípios da finalidade, adequação, necessidade, segurança, prevenção, transparência, não discriminação e responsabilização e prestação de contas.</w:t>
      </w:r>
    </w:p>
    <w:p w14:paraId="70B68809"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15.4.</w:t>
      </w:r>
      <w:r w:rsidRPr="009A06AE">
        <w:rPr>
          <w:rFonts w:ascii="Bookman Old Style" w:eastAsia="Times New Roman" w:hAnsi="Bookman Old Style"/>
          <w:sz w:val="24"/>
          <w:szCs w:val="24"/>
        </w:rPr>
        <w:t xml:space="preserve"> Para os fins deste contrato, 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atuará como </w:t>
      </w:r>
      <w:r w:rsidRPr="009A06AE">
        <w:rPr>
          <w:rFonts w:ascii="Bookman Old Style" w:eastAsia="Times New Roman" w:hAnsi="Bookman Old Style"/>
          <w:b/>
          <w:bCs/>
          <w:sz w:val="24"/>
          <w:szCs w:val="24"/>
        </w:rPr>
        <w:t>CONTROLADORA</w:t>
      </w:r>
      <w:r w:rsidRPr="009A06AE">
        <w:rPr>
          <w:rFonts w:ascii="Bookman Old Style" w:eastAsia="Times New Roman" w:hAnsi="Bookman Old Style"/>
          <w:sz w:val="24"/>
          <w:szCs w:val="24"/>
        </w:rPr>
        <w:t xml:space="preserve"> dos dados pessoais tratados no âmbito da contratação, </w:t>
      </w:r>
      <w:r w:rsidRPr="009A06AE">
        <w:rPr>
          <w:rFonts w:ascii="Bookman Old Style" w:eastAsia="Times New Roman" w:hAnsi="Bookman Old Style"/>
          <w:sz w:val="24"/>
          <w:szCs w:val="24"/>
        </w:rPr>
        <w:lastRenderedPageBreak/>
        <w:t xml:space="preserve">por ser a responsável pelas decisões referentes às finalidades e aos meios essenciais do tratamento, 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atuará como </w:t>
      </w:r>
      <w:r w:rsidRPr="009A06AE">
        <w:rPr>
          <w:rFonts w:ascii="Bookman Old Style" w:eastAsia="Times New Roman" w:hAnsi="Bookman Old Style"/>
          <w:b/>
          <w:bCs/>
          <w:sz w:val="24"/>
          <w:szCs w:val="24"/>
        </w:rPr>
        <w:t>OPERADORA</w:t>
      </w:r>
      <w:r w:rsidRPr="009A06AE">
        <w:rPr>
          <w:rFonts w:ascii="Bookman Old Style" w:eastAsia="Times New Roman" w:hAnsi="Bookman Old Style"/>
          <w:sz w:val="24"/>
          <w:szCs w:val="24"/>
        </w:rPr>
        <w:t xml:space="preserve">, realizando o tratamento de dados pessoais em nome da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e estritamente de acordo com suas instruções formais.</w:t>
      </w:r>
    </w:p>
    <w:p w14:paraId="258DA287"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15.5.</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somente poderá tratar os dados pessoais:</w:t>
      </w:r>
    </w:p>
    <w:p w14:paraId="45A0E631"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 – </w:t>
      </w:r>
      <w:proofErr w:type="gramStart"/>
      <w:r w:rsidRPr="009A06AE">
        <w:rPr>
          <w:rFonts w:ascii="Bookman Old Style" w:eastAsia="Times New Roman" w:hAnsi="Bookman Old Style"/>
          <w:sz w:val="24"/>
          <w:szCs w:val="24"/>
        </w:rPr>
        <w:t>para</w:t>
      </w:r>
      <w:proofErr w:type="gramEnd"/>
      <w:r w:rsidRPr="009A06AE">
        <w:rPr>
          <w:rFonts w:ascii="Bookman Old Style" w:eastAsia="Times New Roman" w:hAnsi="Bookman Old Style"/>
          <w:sz w:val="24"/>
          <w:szCs w:val="24"/>
        </w:rPr>
        <w:t xml:space="preserve"> execução do objeto contratual;</w:t>
      </w:r>
    </w:p>
    <w:p w14:paraId="48ABB4C6"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 – </w:t>
      </w:r>
      <w:proofErr w:type="gramStart"/>
      <w:r w:rsidRPr="009A06AE">
        <w:rPr>
          <w:rFonts w:ascii="Bookman Old Style" w:eastAsia="Times New Roman" w:hAnsi="Bookman Old Style"/>
          <w:sz w:val="24"/>
          <w:szCs w:val="24"/>
        </w:rPr>
        <w:t>na</w:t>
      </w:r>
      <w:proofErr w:type="gramEnd"/>
      <w:r w:rsidRPr="009A06AE">
        <w:rPr>
          <w:rFonts w:ascii="Bookman Old Style" w:eastAsia="Times New Roman" w:hAnsi="Bookman Old Style"/>
          <w:sz w:val="24"/>
          <w:szCs w:val="24"/>
        </w:rPr>
        <w:t xml:space="preserve"> extensão estritamente necessária ao cumprimento das obrigações assumidas;</w:t>
      </w:r>
    </w:p>
    <w:p w14:paraId="7E42FB00"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III – </w:t>
      </w:r>
      <w:r w:rsidRPr="009A06AE">
        <w:rPr>
          <w:rFonts w:ascii="Bookman Old Style" w:eastAsia="Times New Roman" w:hAnsi="Bookman Old Style"/>
          <w:sz w:val="24"/>
          <w:szCs w:val="24"/>
        </w:rPr>
        <w:t xml:space="preserve">de acordo com as instruções formais da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w:t>
      </w:r>
    </w:p>
    <w:p w14:paraId="6AA41E7E"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IV – </w:t>
      </w:r>
      <w:proofErr w:type="gramStart"/>
      <w:r w:rsidRPr="009A06AE">
        <w:rPr>
          <w:rFonts w:ascii="Bookman Old Style" w:eastAsia="Times New Roman" w:hAnsi="Bookman Old Style"/>
          <w:sz w:val="24"/>
          <w:szCs w:val="24"/>
        </w:rPr>
        <w:t>observando</w:t>
      </w:r>
      <w:proofErr w:type="gramEnd"/>
      <w:r w:rsidRPr="009A06AE">
        <w:rPr>
          <w:rFonts w:ascii="Bookman Old Style" w:eastAsia="Times New Roman" w:hAnsi="Bookman Old Style"/>
          <w:sz w:val="24"/>
          <w:szCs w:val="24"/>
        </w:rPr>
        <w:t xml:space="preserve"> o dever de confidencialidade, inclusive por parte de seus sócios, empregados, prepostos, consultores e colaboradores autorizados.</w:t>
      </w:r>
    </w:p>
    <w:p w14:paraId="3532AC67"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15.6.</w:t>
      </w:r>
      <w:r w:rsidRPr="009A06AE">
        <w:rPr>
          <w:rFonts w:ascii="Bookman Old Style" w:eastAsia="Times New Roman" w:hAnsi="Bookman Old Style"/>
          <w:sz w:val="24"/>
          <w:szCs w:val="24"/>
        </w:rPr>
        <w:t xml:space="preserve"> É vedado à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w:t>
      </w:r>
    </w:p>
    <w:p w14:paraId="740CC315"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 – </w:t>
      </w:r>
      <w:proofErr w:type="gramStart"/>
      <w:r w:rsidRPr="009A06AE">
        <w:rPr>
          <w:rFonts w:ascii="Bookman Old Style" w:eastAsia="Times New Roman" w:hAnsi="Bookman Old Style"/>
          <w:sz w:val="24"/>
          <w:szCs w:val="24"/>
        </w:rPr>
        <w:t>utilizar</w:t>
      </w:r>
      <w:proofErr w:type="gramEnd"/>
      <w:r w:rsidRPr="009A06AE">
        <w:rPr>
          <w:rFonts w:ascii="Bookman Old Style" w:eastAsia="Times New Roman" w:hAnsi="Bookman Old Style"/>
          <w:sz w:val="24"/>
          <w:szCs w:val="24"/>
        </w:rPr>
        <w:t xml:space="preserve"> os dados para proveito próprio ou de terceiros;</w:t>
      </w:r>
    </w:p>
    <w:p w14:paraId="28A4EA67"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 – </w:t>
      </w:r>
      <w:proofErr w:type="gramStart"/>
      <w:r w:rsidRPr="009A06AE">
        <w:rPr>
          <w:rFonts w:ascii="Bookman Old Style" w:eastAsia="Times New Roman" w:hAnsi="Bookman Old Style"/>
          <w:sz w:val="24"/>
          <w:szCs w:val="24"/>
        </w:rPr>
        <w:t>comercializar</w:t>
      </w:r>
      <w:proofErr w:type="gramEnd"/>
      <w:r w:rsidRPr="009A06AE">
        <w:rPr>
          <w:rFonts w:ascii="Bookman Old Style" w:eastAsia="Times New Roman" w:hAnsi="Bookman Old Style"/>
          <w:sz w:val="24"/>
          <w:szCs w:val="24"/>
        </w:rPr>
        <w:t xml:space="preserve">, ceder, divulgar, explorar, disponibilizar ou compartilhar os dados com terceiros sem autorização prévia, expressa e </w:t>
      </w:r>
      <w:r w:rsidRPr="009A06AE">
        <w:rPr>
          <w:rFonts w:ascii="Bookman Old Style" w:eastAsia="Times New Roman" w:hAnsi="Bookman Old Style"/>
          <w:sz w:val="24"/>
          <w:szCs w:val="24"/>
        </w:rPr>
        <w:lastRenderedPageBreak/>
        <w:t xml:space="preserve">escrita da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salvo obrigação legal ou regulatória devidamente comprovada;</w:t>
      </w:r>
    </w:p>
    <w:p w14:paraId="59C128F0"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III – </w:t>
      </w:r>
      <w:r w:rsidRPr="009A06AE">
        <w:rPr>
          <w:rFonts w:ascii="Bookman Old Style" w:eastAsia="Times New Roman" w:hAnsi="Bookman Old Style"/>
          <w:sz w:val="24"/>
          <w:szCs w:val="24"/>
        </w:rPr>
        <w:t>conservar os dados por prazo superior ao necessário à execução contratual, ressalvadas as hipóteses legais de guarda obrigatória;</w:t>
      </w:r>
    </w:p>
    <w:p w14:paraId="624C6FE1"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IV – </w:t>
      </w:r>
      <w:proofErr w:type="gramStart"/>
      <w:r w:rsidRPr="009A06AE">
        <w:rPr>
          <w:rFonts w:ascii="Bookman Old Style" w:eastAsia="Times New Roman" w:hAnsi="Bookman Old Style"/>
          <w:sz w:val="24"/>
          <w:szCs w:val="24"/>
        </w:rPr>
        <w:t>realizar</w:t>
      </w:r>
      <w:proofErr w:type="gramEnd"/>
      <w:r w:rsidRPr="009A06AE">
        <w:rPr>
          <w:rFonts w:ascii="Bookman Old Style" w:eastAsia="Times New Roman" w:hAnsi="Bookman Old Style"/>
          <w:sz w:val="24"/>
          <w:szCs w:val="24"/>
        </w:rPr>
        <w:t xml:space="preserve"> tratamento incompatível com as finalidades definidas pela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w:t>
      </w:r>
    </w:p>
    <w:p w14:paraId="296CEBC6"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15.7.</w:t>
      </w:r>
      <w:r w:rsidRPr="009A06AE">
        <w:rPr>
          <w:rFonts w:ascii="Bookman Old Style" w:eastAsia="Times New Roman" w:hAnsi="Bookman Old Style"/>
          <w:sz w:val="24"/>
          <w:szCs w:val="24"/>
        </w:rPr>
        <w:t xml:space="preserve"> Caso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necessite contar com terceiro para atividade acessória que envolva tratamento de dados pessoais, a contratação somente poderá ocorrer mediante autorização prévia e expressa da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ficando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responsável por:</w:t>
      </w:r>
    </w:p>
    <w:p w14:paraId="529DC705"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 – </w:t>
      </w:r>
      <w:proofErr w:type="gramStart"/>
      <w:r w:rsidRPr="009A06AE">
        <w:rPr>
          <w:rFonts w:ascii="Bookman Old Style" w:eastAsia="Times New Roman" w:hAnsi="Bookman Old Style"/>
          <w:sz w:val="24"/>
          <w:szCs w:val="24"/>
        </w:rPr>
        <w:t>assegurar</w:t>
      </w:r>
      <w:proofErr w:type="gramEnd"/>
      <w:r w:rsidRPr="009A06AE">
        <w:rPr>
          <w:rFonts w:ascii="Bookman Old Style" w:eastAsia="Times New Roman" w:hAnsi="Bookman Old Style"/>
          <w:sz w:val="24"/>
          <w:szCs w:val="24"/>
        </w:rPr>
        <w:t xml:space="preserve"> que o terceiro assuma, por escrito, obrigações de sigilo, confidencialidade, segurança e proteção de dados equivalentes às deste contrato;</w:t>
      </w:r>
    </w:p>
    <w:p w14:paraId="09E8FE96"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 – </w:t>
      </w:r>
      <w:proofErr w:type="gramStart"/>
      <w:r w:rsidRPr="009A06AE">
        <w:rPr>
          <w:rFonts w:ascii="Bookman Old Style" w:eastAsia="Times New Roman" w:hAnsi="Bookman Old Style"/>
          <w:sz w:val="24"/>
          <w:szCs w:val="24"/>
        </w:rPr>
        <w:t>responder</w:t>
      </w:r>
      <w:proofErr w:type="gramEnd"/>
      <w:r w:rsidRPr="009A06AE">
        <w:rPr>
          <w:rFonts w:ascii="Bookman Old Style" w:eastAsia="Times New Roman" w:hAnsi="Bookman Old Style"/>
          <w:sz w:val="24"/>
          <w:szCs w:val="24"/>
        </w:rPr>
        <w:t xml:space="preserve"> integralmente pelos atos do terceiro perante 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w:t>
      </w:r>
    </w:p>
    <w:p w14:paraId="4A7B65F5"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III – </w:t>
      </w:r>
      <w:r w:rsidRPr="009A06AE">
        <w:rPr>
          <w:rFonts w:ascii="Bookman Old Style" w:eastAsia="Times New Roman" w:hAnsi="Bookman Old Style"/>
          <w:sz w:val="24"/>
          <w:szCs w:val="24"/>
        </w:rPr>
        <w:t>garantir que não haja ampliação indevida do escopo, da finalidade ou do acesso aos dados.</w:t>
      </w:r>
    </w:p>
    <w:p w14:paraId="7B033AF2"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15.8.</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deverá adotar medidas técnicas, administrativas e organizacionais aptas a proteger os dados pessoais contra acessos não autorizados e contra situações acidentais ou ilícitas de destruição, perda, alteração, comunicação, difusão ou qualquer forma de tratamento inadequado ou ilícito, observada a natureza dos dados tratados e os riscos envolvidos.</w:t>
      </w:r>
    </w:p>
    <w:p w14:paraId="45F9590A"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15.9.</w:t>
      </w:r>
      <w:r w:rsidRPr="009A06AE">
        <w:rPr>
          <w:rFonts w:ascii="Bookman Old Style" w:eastAsia="Times New Roman" w:hAnsi="Bookman Old Style"/>
          <w:sz w:val="24"/>
          <w:szCs w:val="24"/>
        </w:rPr>
        <w:t xml:space="preserve"> Sem prejuízo de outras medidas compatíveis com o porte e a complexidade da contratação,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deverá:</w:t>
      </w:r>
    </w:p>
    <w:p w14:paraId="09D9A9AE"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 – </w:t>
      </w:r>
      <w:proofErr w:type="gramStart"/>
      <w:r w:rsidRPr="009A06AE">
        <w:rPr>
          <w:rFonts w:ascii="Bookman Old Style" w:eastAsia="Times New Roman" w:hAnsi="Bookman Old Style"/>
          <w:sz w:val="24"/>
          <w:szCs w:val="24"/>
        </w:rPr>
        <w:t>restringir</w:t>
      </w:r>
      <w:proofErr w:type="gramEnd"/>
      <w:r w:rsidRPr="009A06AE">
        <w:rPr>
          <w:rFonts w:ascii="Bookman Old Style" w:eastAsia="Times New Roman" w:hAnsi="Bookman Old Style"/>
          <w:sz w:val="24"/>
          <w:szCs w:val="24"/>
        </w:rPr>
        <w:t xml:space="preserve"> o acesso aos dados ao mínimo necessário, com controle de perfis e permissões;</w:t>
      </w:r>
    </w:p>
    <w:p w14:paraId="7E4F31E7"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 – </w:t>
      </w:r>
      <w:proofErr w:type="gramStart"/>
      <w:r w:rsidRPr="009A06AE">
        <w:rPr>
          <w:rFonts w:ascii="Bookman Old Style" w:eastAsia="Times New Roman" w:hAnsi="Bookman Old Style"/>
          <w:sz w:val="24"/>
          <w:szCs w:val="24"/>
        </w:rPr>
        <w:t>assegurar</w:t>
      </w:r>
      <w:proofErr w:type="gramEnd"/>
      <w:r w:rsidRPr="009A06AE">
        <w:rPr>
          <w:rFonts w:ascii="Bookman Old Style" w:eastAsia="Times New Roman" w:hAnsi="Bookman Old Style"/>
          <w:sz w:val="24"/>
          <w:szCs w:val="24"/>
        </w:rPr>
        <w:t xml:space="preserve"> autenticação, rastreabilidade e registro de acessos, quando tecnicamente aplicável;</w:t>
      </w:r>
    </w:p>
    <w:p w14:paraId="3F3A65E0"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III – </w:t>
      </w:r>
      <w:r w:rsidRPr="009A06AE">
        <w:rPr>
          <w:rFonts w:ascii="Bookman Old Style" w:eastAsia="Times New Roman" w:hAnsi="Bookman Old Style"/>
          <w:sz w:val="24"/>
          <w:szCs w:val="24"/>
        </w:rPr>
        <w:t>orientar e vincular seus empregados, prepostos e colaboradores autorizados ao dever formal de confidencialidade;</w:t>
      </w:r>
    </w:p>
    <w:p w14:paraId="3E631F10"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IV – </w:t>
      </w:r>
      <w:proofErr w:type="gramStart"/>
      <w:r w:rsidRPr="009A06AE">
        <w:rPr>
          <w:rFonts w:ascii="Bookman Old Style" w:eastAsia="Times New Roman" w:hAnsi="Bookman Old Style"/>
          <w:sz w:val="24"/>
          <w:szCs w:val="24"/>
        </w:rPr>
        <w:t>manter</w:t>
      </w:r>
      <w:proofErr w:type="gramEnd"/>
      <w:r w:rsidRPr="009A06AE">
        <w:rPr>
          <w:rFonts w:ascii="Bookman Old Style" w:eastAsia="Times New Roman" w:hAnsi="Bookman Old Style"/>
          <w:sz w:val="24"/>
          <w:szCs w:val="24"/>
        </w:rPr>
        <w:t xml:space="preserve"> ambiente lógico e físico razoavelmente seguro para armazenamento, circulação e tratamento das informações;</w:t>
      </w:r>
    </w:p>
    <w:p w14:paraId="7BAB76BC"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V – </w:t>
      </w:r>
      <w:proofErr w:type="gramStart"/>
      <w:r w:rsidRPr="009A06AE">
        <w:rPr>
          <w:rFonts w:ascii="Bookman Old Style" w:eastAsia="Times New Roman" w:hAnsi="Bookman Old Style"/>
          <w:sz w:val="24"/>
          <w:szCs w:val="24"/>
        </w:rPr>
        <w:t>adotar</w:t>
      </w:r>
      <w:proofErr w:type="gramEnd"/>
      <w:r w:rsidRPr="009A06AE">
        <w:rPr>
          <w:rFonts w:ascii="Bookman Old Style" w:eastAsia="Times New Roman" w:hAnsi="Bookman Old Style"/>
          <w:sz w:val="24"/>
          <w:szCs w:val="24"/>
        </w:rPr>
        <w:t xml:space="preserve"> procedimentos de prevenção, detecção e resposta a incidentes de segurança.</w:t>
      </w:r>
    </w:p>
    <w:p w14:paraId="7BF706E6"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15.10.</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deverá manter registros, evidências e documentação suficiente para demonstrar a conformidade das operações de tratamento realizadas no âmbito deste contrato, inclusive quanto às instruções recebidas da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às medidas de segurança adotadas, aos acessos concedidos e às ocorrências relevantes relacionadas aos dados pessoais.</w:t>
      </w:r>
    </w:p>
    <w:p w14:paraId="4ED0A874"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15.11.</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deverá prestar apoio à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no atendimento de solicitações relacionadas à proteção de dados pessoais, inclusive quanto a:</w:t>
      </w:r>
    </w:p>
    <w:p w14:paraId="35DB5092"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 – </w:t>
      </w:r>
      <w:proofErr w:type="gramStart"/>
      <w:r w:rsidRPr="009A06AE">
        <w:rPr>
          <w:rFonts w:ascii="Bookman Old Style" w:eastAsia="Times New Roman" w:hAnsi="Bookman Old Style"/>
          <w:sz w:val="24"/>
          <w:szCs w:val="24"/>
        </w:rPr>
        <w:t>requisições</w:t>
      </w:r>
      <w:proofErr w:type="gramEnd"/>
      <w:r w:rsidRPr="009A06AE">
        <w:rPr>
          <w:rFonts w:ascii="Bookman Old Style" w:eastAsia="Times New Roman" w:hAnsi="Bookman Old Style"/>
          <w:sz w:val="24"/>
          <w:szCs w:val="24"/>
        </w:rPr>
        <w:t xml:space="preserve"> de titulares de dados;</w:t>
      </w:r>
    </w:p>
    <w:p w14:paraId="39AEB021"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 – </w:t>
      </w:r>
      <w:proofErr w:type="gramStart"/>
      <w:r w:rsidRPr="009A06AE">
        <w:rPr>
          <w:rFonts w:ascii="Bookman Old Style" w:eastAsia="Times New Roman" w:hAnsi="Bookman Old Style"/>
          <w:sz w:val="24"/>
          <w:szCs w:val="24"/>
        </w:rPr>
        <w:t>diligências, recomendações ou determinações</w:t>
      </w:r>
      <w:proofErr w:type="gramEnd"/>
      <w:r w:rsidRPr="009A06AE">
        <w:rPr>
          <w:rFonts w:ascii="Bookman Old Style" w:eastAsia="Times New Roman" w:hAnsi="Bookman Old Style"/>
          <w:sz w:val="24"/>
          <w:szCs w:val="24"/>
        </w:rPr>
        <w:t xml:space="preserve"> da Autoridade Nacional de Proteção de Dados – ANPD;</w:t>
      </w:r>
    </w:p>
    <w:p w14:paraId="7DA7B993"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III – </w:t>
      </w:r>
      <w:r w:rsidRPr="009A06AE">
        <w:rPr>
          <w:rFonts w:ascii="Bookman Old Style" w:eastAsia="Times New Roman" w:hAnsi="Bookman Old Style"/>
          <w:sz w:val="24"/>
          <w:szCs w:val="24"/>
        </w:rPr>
        <w:t>auditorias, apurações internas e providências corretivas;</w:t>
      </w:r>
    </w:p>
    <w:p w14:paraId="26874992"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IV – </w:t>
      </w:r>
      <w:proofErr w:type="gramStart"/>
      <w:r w:rsidRPr="009A06AE">
        <w:rPr>
          <w:rFonts w:ascii="Bookman Old Style" w:eastAsia="Times New Roman" w:hAnsi="Bookman Old Style"/>
          <w:sz w:val="24"/>
          <w:szCs w:val="24"/>
        </w:rPr>
        <w:t>levantamento</w:t>
      </w:r>
      <w:proofErr w:type="gramEnd"/>
      <w:r w:rsidRPr="009A06AE">
        <w:rPr>
          <w:rFonts w:ascii="Bookman Old Style" w:eastAsia="Times New Roman" w:hAnsi="Bookman Old Style"/>
          <w:sz w:val="24"/>
          <w:szCs w:val="24"/>
        </w:rPr>
        <w:t xml:space="preserve"> de informações para demonstração de conformidade e prestação de contas.</w:t>
      </w:r>
    </w:p>
    <w:p w14:paraId="2F1E219C"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15.12.</w:t>
      </w:r>
      <w:r w:rsidRPr="009A06AE">
        <w:rPr>
          <w:rFonts w:ascii="Bookman Old Style" w:eastAsia="Times New Roman" w:hAnsi="Bookman Old Style"/>
          <w:sz w:val="24"/>
          <w:szCs w:val="24"/>
        </w:rPr>
        <w:t xml:space="preserve"> Na hipótese de incidente de segurança que envolva dados pessoais tratados no âmbito deste contrato,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deverá comunicar o fato à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imediatamente, sem demora </w:t>
      </w:r>
      <w:r w:rsidRPr="009A06AE">
        <w:rPr>
          <w:rFonts w:ascii="Bookman Old Style" w:eastAsia="Times New Roman" w:hAnsi="Bookman Old Style"/>
          <w:sz w:val="24"/>
          <w:szCs w:val="24"/>
        </w:rPr>
        <w:lastRenderedPageBreak/>
        <w:t xml:space="preserve">injustificada, e no prazo </w:t>
      </w:r>
      <w:r w:rsidRPr="009A06AE">
        <w:rPr>
          <w:rFonts w:ascii="Bookman Old Style" w:eastAsia="Times New Roman" w:hAnsi="Bookman Old Style"/>
          <w:b/>
          <w:bCs/>
          <w:sz w:val="24"/>
          <w:szCs w:val="24"/>
        </w:rPr>
        <w:t>máximo de 24 (vinte e quatro) horas contado da ciência do incidente</w:t>
      </w:r>
      <w:r w:rsidRPr="009A06AE">
        <w:rPr>
          <w:rFonts w:ascii="Bookman Old Style" w:eastAsia="Times New Roman" w:hAnsi="Bookman Old Style"/>
          <w:sz w:val="24"/>
          <w:szCs w:val="24"/>
        </w:rPr>
        <w:t>, informando, no mínimo, os elementos disponíveis acerca da natureza do evento, dos dados afetados, dos riscos envolvidos e das medidas já adotadas para contenção, mitigação e remediação.</w:t>
      </w:r>
    </w:p>
    <w:p w14:paraId="31FC20A9"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15.13.</w:t>
      </w:r>
      <w:r w:rsidRPr="009A06AE">
        <w:rPr>
          <w:rFonts w:ascii="Bookman Old Style" w:eastAsia="Times New Roman" w:hAnsi="Bookman Old Style"/>
          <w:sz w:val="24"/>
          <w:szCs w:val="24"/>
        </w:rPr>
        <w:t xml:space="preserve"> A comunicação prevista no item anterior não substitui o dever da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 adotar imediatamente todas as medidas razoáveis e tecnicamente cabíveis para conter, mitigar, remediar e documentar o incidente, nem afasta seu dever de cooperar integralmente com 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na apuração dos fatos e na adoção das providências subsequentes.</w:t>
      </w:r>
    </w:p>
    <w:p w14:paraId="307DB5B5"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15.14.</w:t>
      </w:r>
      <w:r w:rsidRPr="009A06AE">
        <w:rPr>
          <w:rFonts w:ascii="Bookman Old Style" w:eastAsia="Times New Roman" w:hAnsi="Bookman Old Style"/>
          <w:sz w:val="24"/>
          <w:szCs w:val="24"/>
        </w:rPr>
        <w:t xml:space="preserve"> Ao término da vigência contratual, ou a qualquer tempo por determinação da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deverá, conforme instrução da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e observadas as hipóteses legais de retenção:</w:t>
      </w:r>
    </w:p>
    <w:p w14:paraId="61B0B113"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 – </w:t>
      </w:r>
      <w:proofErr w:type="gramStart"/>
      <w:r w:rsidRPr="009A06AE">
        <w:rPr>
          <w:rFonts w:ascii="Bookman Old Style" w:eastAsia="Times New Roman" w:hAnsi="Bookman Old Style"/>
          <w:sz w:val="24"/>
          <w:szCs w:val="24"/>
        </w:rPr>
        <w:t>devolver</w:t>
      </w:r>
      <w:proofErr w:type="gramEnd"/>
      <w:r w:rsidRPr="009A06AE">
        <w:rPr>
          <w:rFonts w:ascii="Bookman Old Style" w:eastAsia="Times New Roman" w:hAnsi="Bookman Old Style"/>
          <w:sz w:val="24"/>
          <w:szCs w:val="24"/>
        </w:rPr>
        <w:t xml:space="preserve"> os dados pessoais e os documentos que os contenham;</w:t>
      </w:r>
    </w:p>
    <w:p w14:paraId="52861B50"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 – </w:t>
      </w:r>
      <w:proofErr w:type="gramStart"/>
      <w:r w:rsidRPr="009A06AE">
        <w:rPr>
          <w:rFonts w:ascii="Bookman Old Style" w:eastAsia="Times New Roman" w:hAnsi="Bookman Old Style"/>
          <w:sz w:val="24"/>
          <w:szCs w:val="24"/>
        </w:rPr>
        <w:t>eliminar</w:t>
      </w:r>
      <w:proofErr w:type="gramEnd"/>
      <w:r w:rsidRPr="009A06AE">
        <w:rPr>
          <w:rFonts w:ascii="Bookman Old Style" w:eastAsia="Times New Roman" w:hAnsi="Bookman Old Style"/>
          <w:sz w:val="24"/>
          <w:szCs w:val="24"/>
        </w:rPr>
        <w:t xml:space="preserve"> de forma segura os dados armazenados em seus ambientes;</w:t>
      </w:r>
    </w:p>
    <w:p w14:paraId="7DD2BE1A"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III – </w:t>
      </w:r>
      <w:r w:rsidRPr="009A06AE">
        <w:rPr>
          <w:rFonts w:ascii="Bookman Old Style" w:eastAsia="Times New Roman" w:hAnsi="Bookman Old Style"/>
          <w:sz w:val="24"/>
          <w:szCs w:val="24"/>
        </w:rPr>
        <w:t>anonimizar os dados, quando cabível e autorizado;</w:t>
      </w:r>
    </w:p>
    <w:p w14:paraId="18D3D6D2"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 xml:space="preserve">IV – </w:t>
      </w:r>
      <w:proofErr w:type="gramStart"/>
      <w:r w:rsidRPr="009A06AE">
        <w:rPr>
          <w:rFonts w:ascii="Bookman Old Style" w:eastAsia="Times New Roman" w:hAnsi="Bookman Old Style"/>
          <w:sz w:val="24"/>
          <w:szCs w:val="24"/>
        </w:rPr>
        <w:t>comprovar</w:t>
      </w:r>
      <w:proofErr w:type="gramEnd"/>
      <w:r w:rsidRPr="009A06AE">
        <w:rPr>
          <w:rFonts w:ascii="Bookman Old Style" w:eastAsia="Times New Roman" w:hAnsi="Bookman Old Style"/>
          <w:sz w:val="24"/>
          <w:szCs w:val="24"/>
        </w:rPr>
        <w:t xml:space="preserve"> documentalmente à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a providência adotada.</w:t>
      </w:r>
    </w:p>
    <w:p w14:paraId="11E4F502"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15.15.</w:t>
      </w:r>
      <w:r w:rsidRPr="009A06AE">
        <w:rPr>
          <w:rFonts w:ascii="Bookman Old Style" w:eastAsia="Times New Roman" w:hAnsi="Bookman Old Style"/>
          <w:sz w:val="24"/>
          <w:szCs w:val="24"/>
        </w:rPr>
        <w:t xml:space="preserve"> O dever de sigilo, confidencialidade, proteção de dados e cooperação subsistirá mesmo após o término da vigência contratual, pelo tempo em que perdurarem efeitos jurídicos, administrativos ou legais relacionados às informações tratadas.</w:t>
      </w:r>
    </w:p>
    <w:p w14:paraId="1798027B"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15.16.</w:t>
      </w:r>
      <w:r w:rsidRPr="009A06AE">
        <w:rPr>
          <w:rFonts w:ascii="Bookman Old Style" w:eastAsia="Times New Roman" w:hAnsi="Bookman Old Style"/>
          <w:sz w:val="24"/>
          <w:szCs w:val="24"/>
        </w:rPr>
        <w:t xml:space="preserve"> O descumprimento das obrigações previstas nesta cláusula sujeitará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às sanções contratuais e legais cabíveis, sem prejuízo da apuração de perdas e danos, responsabilização administrativa, civil e, quando cabível, de outras medidas previstas na legislação aplicável.</w:t>
      </w:r>
    </w:p>
    <w:p w14:paraId="3DA3D75D"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color w:val="156082" w:themeColor="accent1"/>
          <w:sz w:val="24"/>
          <w:szCs w:val="24"/>
        </w:rPr>
      </w:pPr>
      <w:r w:rsidRPr="009A06AE">
        <w:rPr>
          <w:rFonts w:ascii="Bookman Old Style" w:eastAsiaTheme="majorEastAsia" w:hAnsi="Bookman Old Style" w:cstheme="majorBidi"/>
          <w:b/>
          <w:bCs/>
          <w:sz w:val="24"/>
          <w:szCs w:val="24"/>
        </w:rPr>
        <w:t>CLÁUSULA DÉCIMA SEXTA – DA ANTICORRUPÇÃO, DA INTEGRIDADE E DA ÉTICA CONTRATUAL</w:t>
      </w:r>
    </w:p>
    <w:p w14:paraId="5189EAD8"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16.1.</w:t>
      </w:r>
      <w:r w:rsidRPr="009A06AE">
        <w:rPr>
          <w:rFonts w:ascii="Bookman Old Style" w:eastAsia="Times New Roman" w:hAnsi="Bookman Old Style"/>
          <w:sz w:val="24"/>
          <w:szCs w:val="24"/>
        </w:rPr>
        <w:t xml:space="preserve"> As partes declaram que conhecem e observarão, durante toda a execução deste contrato, a legislação aplicável à prevenção e ao combate à corrupção, à fraude, ao conluio, ao tráfico de influência, ao conflito de interesses e aos atos lesivos à Administração Pública, em especial a Lei Federal nº 12.846/2013, a Lei Federal nº 14.133/2021, a Lei Federal nº 8.429/1992, no que couber, e demais normas correlatas.</w:t>
      </w:r>
    </w:p>
    <w:p w14:paraId="33033510"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16.2.</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compromete-se a conduzir suas atividades com estrita observância dos princípios da legalidade, impessoalidade, moralidade, probidade, boa-fé, transparência, integridade e lealdade contratual, abstendo-se de praticar, por si ou por intermédio de sócios, administradores, empregados, prepostos, representantes, consultores, intermediários ou terceiros a ela vinculados, qualquer ato que possa caracterizar fraude, corrupção ou violação à ordem jurídica aplicável às contratações públicas.</w:t>
      </w:r>
    </w:p>
    <w:p w14:paraId="1D17836D"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16.3.</w:t>
      </w:r>
      <w:r w:rsidRPr="009A06AE">
        <w:rPr>
          <w:rFonts w:ascii="Bookman Old Style" w:eastAsia="Times New Roman" w:hAnsi="Bookman Old Style"/>
          <w:sz w:val="24"/>
          <w:szCs w:val="24"/>
        </w:rPr>
        <w:t xml:space="preserve"> É vedado à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bem como a qualquer pessoa que atue em seu nome ou interesse:</w:t>
      </w:r>
    </w:p>
    <w:p w14:paraId="2A19B38E"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 – </w:t>
      </w:r>
      <w:proofErr w:type="gramStart"/>
      <w:r w:rsidRPr="009A06AE">
        <w:rPr>
          <w:rFonts w:ascii="Bookman Old Style" w:eastAsia="Times New Roman" w:hAnsi="Bookman Old Style"/>
          <w:sz w:val="24"/>
          <w:szCs w:val="24"/>
        </w:rPr>
        <w:t>prometer</w:t>
      </w:r>
      <w:proofErr w:type="gramEnd"/>
      <w:r w:rsidRPr="009A06AE">
        <w:rPr>
          <w:rFonts w:ascii="Bookman Old Style" w:eastAsia="Times New Roman" w:hAnsi="Bookman Old Style"/>
          <w:sz w:val="24"/>
          <w:szCs w:val="24"/>
        </w:rPr>
        <w:t>, oferecer, dar, autorizar, solicitar, exigir, aceitar ou receber, direta ou indiretamente, vantagem indevida de qualquer natureza;</w:t>
      </w:r>
    </w:p>
    <w:p w14:paraId="370A28F3"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 – </w:t>
      </w:r>
      <w:proofErr w:type="gramStart"/>
      <w:r w:rsidRPr="009A06AE">
        <w:rPr>
          <w:rFonts w:ascii="Bookman Old Style" w:eastAsia="Times New Roman" w:hAnsi="Bookman Old Style"/>
          <w:sz w:val="24"/>
          <w:szCs w:val="24"/>
        </w:rPr>
        <w:t>frustrar</w:t>
      </w:r>
      <w:proofErr w:type="gramEnd"/>
      <w:r w:rsidRPr="009A06AE">
        <w:rPr>
          <w:rFonts w:ascii="Bookman Old Style" w:eastAsia="Times New Roman" w:hAnsi="Bookman Old Style"/>
          <w:sz w:val="24"/>
          <w:szCs w:val="24"/>
        </w:rPr>
        <w:t>, fraudar, impedir, perturbar, manipular ou comprometer, por qualquer meio, a licitação, a contratação direta, a execução contratual ou o equilíbrio econômico-financeiro do contrato;</w:t>
      </w:r>
    </w:p>
    <w:p w14:paraId="1BD1CE5E"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III – </w:t>
      </w:r>
      <w:r w:rsidRPr="009A06AE">
        <w:rPr>
          <w:rFonts w:ascii="Bookman Old Style" w:eastAsia="Times New Roman" w:hAnsi="Bookman Old Style"/>
          <w:sz w:val="24"/>
          <w:szCs w:val="24"/>
        </w:rPr>
        <w:t>obter vantagem ou benefício indevido, de modo fraudulento, em modificações, prorrogações, reequilíbrios, reajustes, repactuações, medições, pagamentos ou quaisquer atos relacionados ao contrato;</w:t>
      </w:r>
    </w:p>
    <w:p w14:paraId="5AE6A8B0"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 xml:space="preserve">IV – </w:t>
      </w:r>
      <w:proofErr w:type="gramStart"/>
      <w:r w:rsidRPr="009A06AE">
        <w:rPr>
          <w:rFonts w:ascii="Bookman Old Style" w:eastAsia="Times New Roman" w:hAnsi="Bookman Old Style"/>
          <w:sz w:val="24"/>
          <w:szCs w:val="24"/>
        </w:rPr>
        <w:t>criar</w:t>
      </w:r>
      <w:proofErr w:type="gramEnd"/>
      <w:r w:rsidRPr="009A06AE">
        <w:rPr>
          <w:rFonts w:ascii="Bookman Old Style" w:eastAsia="Times New Roman" w:hAnsi="Bookman Old Style"/>
          <w:sz w:val="24"/>
          <w:szCs w:val="24"/>
        </w:rPr>
        <w:t>, manter ou utilizar pessoa física ou jurídica de forma fraudulenta para participar de licitação, contratação direta ou execução contratual;</w:t>
      </w:r>
    </w:p>
    <w:p w14:paraId="5DE25F26"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V – </w:t>
      </w:r>
      <w:proofErr w:type="gramStart"/>
      <w:r w:rsidRPr="009A06AE">
        <w:rPr>
          <w:rFonts w:ascii="Bookman Old Style" w:eastAsia="Times New Roman" w:hAnsi="Bookman Old Style"/>
          <w:sz w:val="24"/>
          <w:szCs w:val="24"/>
        </w:rPr>
        <w:t>dificultar</w:t>
      </w:r>
      <w:proofErr w:type="gramEnd"/>
      <w:r w:rsidRPr="009A06AE">
        <w:rPr>
          <w:rFonts w:ascii="Bookman Old Style" w:eastAsia="Times New Roman" w:hAnsi="Bookman Old Style"/>
          <w:sz w:val="24"/>
          <w:szCs w:val="24"/>
        </w:rPr>
        <w:t xml:space="preserve"> atividade de investigação, fiscalização, auditoria ou atuação de órgãos de controle interno ou externo, do gestor ou do fiscal do contrato, inclusive mediante omissão, simulação, embaraço, destruição de documentos ou prestação de informações falsas;</w:t>
      </w:r>
    </w:p>
    <w:p w14:paraId="50690E45"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VI – </w:t>
      </w:r>
      <w:proofErr w:type="gramStart"/>
      <w:r w:rsidRPr="009A06AE">
        <w:rPr>
          <w:rFonts w:ascii="Bookman Old Style" w:eastAsia="Times New Roman" w:hAnsi="Bookman Old Style"/>
          <w:sz w:val="24"/>
          <w:szCs w:val="24"/>
        </w:rPr>
        <w:t>praticar</w:t>
      </w:r>
      <w:proofErr w:type="gramEnd"/>
      <w:r w:rsidRPr="009A06AE">
        <w:rPr>
          <w:rFonts w:ascii="Bookman Old Style" w:eastAsia="Times New Roman" w:hAnsi="Bookman Old Style"/>
          <w:sz w:val="24"/>
          <w:szCs w:val="24"/>
        </w:rPr>
        <w:t xml:space="preserve"> qualquer ato que configure conflito de interesses ou favorecimento indevido de agente público ou de terceiro relacionado à contratação.</w:t>
      </w:r>
    </w:p>
    <w:p w14:paraId="69554242"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16.4.</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deverá adotar medidas razoáveis e proporcionais de integridade e prevenção à corrupção compatíveis com o porte, a estrutura e a complexidade do objeto contratado, inclusive, quando cabível:</w:t>
      </w:r>
    </w:p>
    <w:p w14:paraId="06DBCBFA"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 – </w:t>
      </w:r>
      <w:proofErr w:type="gramStart"/>
      <w:r w:rsidRPr="009A06AE">
        <w:rPr>
          <w:rFonts w:ascii="Bookman Old Style" w:eastAsia="Times New Roman" w:hAnsi="Bookman Old Style"/>
          <w:sz w:val="24"/>
          <w:szCs w:val="24"/>
        </w:rPr>
        <w:t>orientação</w:t>
      </w:r>
      <w:proofErr w:type="gramEnd"/>
      <w:r w:rsidRPr="009A06AE">
        <w:rPr>
          <w:rFonts w:ascii="Bookman Old Style" w:eastAsia="Times New Roman" w:hAnsi="Bookman Old Style"/>
          <w:sz w:val="24"/>
          <w:szCs w:val="24"/>
        </w:rPr>
        <w:t xml:space="preserve"> de seus empregados, prepostos e colaboradores quanto às vedações previstas nesta cláusula;</w:t>
      </w:r>
    </w:p>
    <w:p w14:paraId="392CDBCF"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 – </w:t>
      </w:r>
      <w:proofErr w:type="gramStart"/>
      <w:r w:rsidRPr="009A06AE">
        <w:rPr>
          <w:rFonts w:ascii="Bookman Old Style" w:eastAsia="Times New Roman" w:hAnsi="Bookman Old Style"/>
          <w:sz w:val="24"/>
          <w:szCs w:val="24"/>
        </w:rPr>
        <w:t>controles</w:t>
      </w:r>
      <w:proofErr w:type="gramEnd"/>
      <w:r w:rsidRPr="009A06AE">
        <w:rPr>
          <w:rFonts w:ascii="Bookman Old Style" w:eastAsia="Times New Roman" w:hAnsi="Bookman Old Style"/>
          <w:sz w:val="24"/>
          <w:szCs w:val="24"/>
        </w:rPr>
        <w:t xml:space="preserve"> mínimos sobre pagamentos, registros, aprovações internas e relacionamento com terceiros vinculados à execução do contrato;</w:t>
      </w:r>
    </w:p>
    <w:p w14:paraId="08F97190"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 xml:space="preserve">III – </w:t>
      </w:r>
      <w:r w:rsidRPr="009A06AE">
        <w:rPr>
          <w:rFonts w:ascii="Bookman Old Style" w:eastAsia="Times New Roman" w:hAnsi="Bookman Old Style"/>
          <w:sz w:val="24"/>
          <w:szCs w:val="24"/>
        </w:rPr>
        <w:t>mecanismos internos de prevenção, detecção e resposta a desvios éticos e irregularidades;</w:t>
      </w:r>
    </w:p>
    <w:p w14:paraId="64866139"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IV – </w:t>
      </w:r>
      <w:proofErr w:type="gramStart"/>
      <w:r w:rsidRPr="009A06AE">
        <w:rPr>
          <w:rFonts w:ascii="Bookman Old Style" w:eastAsia="Times New Roman" w:hAnsi="Bookman Old Style"/>
          <w:sz w:val="24"/>
          <w:szCs w:val="24"/>
        </w:rPr>
        <w:t>manutenção</w:t>
      </w:r>
      <w:proofErr w:type="gramEnd"/>
      <w:r w:rsidRPr="009A06AE">
        <w:rPr>
          <w:rFonts w:ascii="Bookman Old Style" w:eastAsia="Times New Roman" w:hAnsi="Bookman Old Style"/>
          <w:sz w:val="24"/>
          <w:szCs w:val="24"/>
        </w:rPr>
        <w:t xml:space="preserve"> de ambiente organizacional compatível com a integridade da contratação pública.</w:t>
      </w:r>
    </w:p>
    <w:p w14:paraId="124CC597"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16.5.</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responderá integralmente pelos atos praticados, no âmbito deste contrato, por seus sócios, administradores, empregados, prepostos, representantes, subcontratados autorizados, consultores, intermediários e terceiros que atuem em seu interesse ou benefício, sem prejuízo da apuração individual de responsabilidades.</w:t>
      </w:r>
    </w:p>
    <w:p w14:paraId="2644EB54"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16.6.</w:t>
      </w:r>
      <w:r w:rsidRPr="009A06AE">
        <w:rPr>
          <w:rFonts w:ascii="Bookman Old Style" w:eastAsia="Times New Roman" w:hAnsi="Bookman Old Style"/>
          <w:sz w:val="24"/>
          <w:szCs w:val="24"/>
        </w:rPr>
        <w:t xml:space="preserve"> A contratação de terceiros para atividades acessórias relacionadas ao objeto, quando admitida, não afasta o dever da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w:t>
      </w:r>
    </w:p>
    <w:p w14:paraId="3D04B535"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 – </w:t>
      </w:r>
      <w:proofErr w:type="gramStart"/>
      <w:r w:rsidRPr="009A06AE">
        <w:rPr>
          <w:rFonts w:ascii="Bookman Old Style" w:eastAsia="Times New Roman" w:hAnsi="Bookman Old Style"/>
          <w:sz w:val="24"/>
          <w:szCs w:val="24"/>
        </w:rPr>
        <w:t>verificar</w:t>
      </w:r>
      <w:proofErr w:type="gramEnd"/>
      <w:r w:rsidRPr="009A06AE">
        <w:rPr>
          <w:rFonts w:ascii="Bookman Old Style" w:eastAsia="Times New Roman" w:hAnsi="Bookman Old Style"/>
          <w:sz w:val="24"/>
          <w:szCs w:val="24"/>
        </w:rPr>
        <w:t>, de forma minimamente diligente, a idoneidade do terceiro envolvido;</w:t>
      </w:r>
    </w:p>
    <w:p w14:paraId="78A874DD"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 – </w:t>
      </w:r>
      <w:proofErr w:type="gramStart"/>
      <w:r w:rsidRPr="009A06AE">
        <w:rPr>
          <w:rFonts w:ascii="Bookman Old Style" w:eastAsia="Times New Roman" w:hAnsi="Bookman Old Style"/>
          <w:sz w:val="24"/>
          <w:szCs w:val="24"/>
        </w:rPr>
        <w:t>assegurar</w:t>
      </w:r>
      <w:proofErr w:type="gramEnd"/>
      <w:r w:rsidRPr="009A06AE">
        <w:rPr>
          <w:rFonts w:ascii="Bookman Old Style" w:eastAsia="Times New Roman" w:hAnsi="Bookman Old Style"/>
          <w:sz w:val="24"/>
          <w:szCs w:val="24"/>
        </w:rPr>
        <w:t xml:space="preserve"> que o terceiro observe obrigações de integridade, ética, confidencialidade e conformidade compatíveis com as deste contrato;</w:t>
      </w:r>
    </w:p>
    <w:p w14:paraId="71982E7B"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III – </w:t>
      </w:r>
      <w:r w:rsidRPr="009A06AE">
        <w:rPr>
          <w:rFonts w:ascii="Bookman Old Style" w:eastAsia="Times New Roman" w:hAnsi="Bookman Old Style"/>
          <w:sz w:val="24"/>
          <w:szCs w:val="24"/>
        </w:rPr>
        <w:t xml:space="preserve">responder perante 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por atos praticados pelo terceiro que importem infração contratual ou legal.</w:t>
      </w:r>
    </w:p>
    <w:p w14:paraId="763C099C"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16.7.</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deverá manter registros, documentos, comprovantes e evidências suficientes para demonstrar a regularidade dos atos praticados na execução contratual, especialmente os relacionados à formação de preços, execução do objeto, medições, faturamento, pagamentos, reequilíbrios, reajustes, repactuações, subcontratações autorizadas e relacionamento com terceiros vinculados ao contrato.</w:t>
      </w:r>
    </w:p>
    <w:p w14:paraId="78499948"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16.8.</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compromete-se a comunicar à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imediatamente e sem demora injustificada, qualquer fato, indício, denúncia, investigação, diligência, processo administrativo, procedimento sancionador, ação judicial, ocorrência ou evento de que tenha ciência e que possa representar:</w:t>
      </w:r>
    </w:p>
    <w:p w14:paraId="3A8A69D9"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 – </w:t>
      </w:r>
      <w:proofErr w:type="gramStart"/>
      <w:r w:rsidRPr="009A06AE">
        <w:rPr>
          <w:rFonts w:ascii="Bookman Old Style" w:eastAsia="Times New Roman" w:hAnsi="Bookman Old Style"/>
          <w:sz w:val="24"/>
          <w:szCs w:val="24"/>
        </w:rPr>
        <w:t>prática</w:t>
      </w:r>
      <w:proofErr w:type="gramEnd"/>
      <w:r w:rsidRPr="009A06AE">
        <w:rPr>
          <w:rFonts w:ascii="Bookman Old Style" w:eastAsia="Times New Roman" w:hAnsi="Bookman Old Style"/>
          <w:sz w:val="24"/>
          <w:szCs w:val="24"/>
        </w:rPr>
        <w:t xml:space="preserve"> de ato lesivo à Administração Pública;</w:t>
      </w:r>
    </w:p>
    <w:p w14:paraId="6B0B8C10"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 – </w:t>
      </w:r>
      <w:proofErr w:type="gramStart"/>
      <w:r w:rsidRPr="009A06AE">
        <w:rPr>
          <w:rFonts w:ascii="Bookman Old Style" w:eastAsia="Times New Roman" w:hAnsi="Bookman Old Style"/>
          <w:sz w:val="24"/>
          <w:szCs w:val="24"/>
        </w:rPr>
        <w:t>irregularidade</w:t>
      </w:r>
      <w:proofErr w:type="gramEnd"/>
      <w:r w:rsidRPr="009A06AE">
        <w:rPr>
          <w:rFonts w:ascii="Bookman Old Style" w:eastAsia="Times New Roman" w:hAnsi="Bookman Old Style"/>
          <w:sz w:val="24"/>
          <w:szCs w:val="24"/>
        </w:rPr>
        <w:t xml:space="preserve"> na licitação, na contratação direta ou na execução deste contrato;</w:t>
      </w:r>
    </w:p>
    <w:p w14:paraId="350920AC"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III – </w:t>
      </w:r>
      <w:r w:rsidRPr="009A06AE">
        <w:rPr>
          <w:rFonts w:ascii="Bookman Old Style" w:eastAsia="Times New Roman" w:hAnsi="Bookman Old Style"/>
          <w:sz w:val="24"/>
          <w:szCs w:val="24"/>
        </w:rPr>
        <w:t>violação das obrigações previstas nesta cláusula;</w:t>
      </w:r>
    </w:p>
    <w:p w14:paraId="3A373ED3"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IV – </w:t>
      </w:r>
      <w:proofErr w:type="gramStart"/>
      <w:r w:rsidRPr="009A06AE">
        <w:rPr>
          <w:rFonts w:ascii="Bookman Old Style" w:eastAsia="Times New Roman" w:hAnsi="Bookman Old Style"/>
          <w:sz w:val="24"/>
          <w:szCs w:val="24"/>
        </w:rPr>
        <w:t>risco</w:t>
      </w:r>
      <w:proofErr w:type="gramEnd"/>
      <w:r w:rsidRPr="009A06AE">
        <w:rPr>
          <w:rFonts w:ascii="Bookman Old Style" w:eastAsia="Times New Roman" w:hAnsi="Bookman Old Style"/>
          <w:sz w:val="24"/>
          <w:szCs w:val="24"/>
        </w:rPr>
        <w:t xml:space="preserve"> reputacional, jurídico, operacional ou institucional relevante para a continuidade da contratação.</w:t>
      </w:r>
    </w:p>
    <w:p w14:paraId="74720468"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16.9.</w:t>
      </w:r>
      <w:r w:rsidRPr="009A06AE">
        <w:rPr>
          <w:rFonts w:ascii="Bookman Old Style" w:eastAsia="Times New Roman" w:hAnsi="Bookman Old Style"/>
          <w:sz w:val="24"/>
          <w:szCs w:val="24"/>
        </w:rPr>
        <w:t xml:space="preserve"> A comunicação referida no item anterior deverá conter, sempre que possível, a descrição sumária dos fatos, a identificação das pessoas e unidades eventualmente envolvidas, a indicação das medidas já adotadas e os elementos disponíveis para subsidiar a apuração pela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w:t>
      </w:r>
    </w:p>
    <w:p w14:paraId="55200F3A"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16.10.</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deverá cooperar integralmente com 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com o controle interno, com os órgãos de assessoramento jurídico e com os órgãos de controle e persecução competentes, franqueando o acesso às informações e documentos pertinentes à apuração de fatos relacionados a fraude, corrupção, atos lesivos à Administração Pública ou outras irregularidades vinculadas ao contrato, observados os limites legais de sigilo e proteção de dados.</w:t>
      </w:r>
    </w:p>
    <w:p w14:paraId="49F5113E"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16.11.</w:t>
      </w:r>
      <w:r w:rsidRPr="009A06AE">
        <w:rPr>
          <w:rFonts w:ascii="Bookman Old Style" w:eastAsia="Times New Roman" w:hAnsi="Bookman Old Style"/>
          <w:sz w:val="24"/>
          <w:szCs w:val="24"/>
        </w:rPr>
        <w:t xml:space="preserve"> A comprovação, a tentativa ou o fundado indício de prática de ato de corrupção, fraude, conluio, vantagem indevida, manipulação contratual, obstrução de fiscalização ou qualquer ato lesivo à Administração Pública poderá ensejar, sem prejuízo das demais medidas cabíveis:</w:t>
      </w:r>
    </w:p>
    <w:p w14:paraId="59A343F3"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 – </w:t>
      </w:r>
      <w:proofErr w:type="gramStart"/>
      <w:r w:rsidRPr="009A06AE">
        <w:rPr>
          <w:rFonts w:ascii="Bookman Old Style" w:eastAsia="Times New Roman" w:hAnsi="Bookman Old Style"/>
          <w:sz w:val="24"/>
          <w:szCs w:val="24"/>
        </w:rPr>
        <w:t>a</w:t>
      </w:r>
      <w:proofErr w:type="gramEnd"/>
      <w:r w:rsidRPr="009A06AE">
        <w:rPr>
          <w:rFonts w:ascii="Bookman Old Style" w:eastAsia="Times New Roman" w:hAnsi="Bookman Old Style"/>
          <w:sz w:val="24"/>
          <w:szCs w:val="24"/>
        </w:rPr>
        <w:t xml:space="preserve"> adoção de providências cautelares administrativas;</w:t>
      </w:r>
    </w:p>
    <w:p w14:paraId="6772A59B"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 – </w:t>
      </w:r>
      <w:proofErr w:type="gramStart"/>
      <w:r w:rsidRPr="009A06AE">
        <w:rPr>
          <w:rFonts w:ascii="Bookman Old Style" w:eastAsia="Times New Roman" w:hAnsi="Bookman Old Style"/>
          <w:sz w:val="24"/>
          <w:szCs w:val="24"/>
        </w:rPr>
        <w:t>a</w:t>
      </w:r>
      <w:proofErr w:type="gramEnd"/>
      <w:r w:rsidRPr="009A06AE">
        <w:rPr>
          <w:rFonts w:ascii="Bookman Old Style" w:eastAsia="Times New Roman" w:hAnsi="Bookman Old Style"/>
          <w:sz w:val="24"/>
          <w:szCs w:val="24"/>
        </w:rPr>
        <w:t xml:space="preserve"> aplicação das sanções contratuais e legais cabíveis;</w:t>
      </w:r>
    </w:p>
    <w:p w14:paraId="34480D77"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 xml:space="preserve">III – </w:t>
      </w:r>
      <w:r w:rsidRPr="009A06AE">
        <w:rPr>
          <w:rFonts w:ascii="Bookman Old Style" w:eastAsia="Times New Roman" w:hAnsi="Bookman Old Style"/>
          <w:sz w:val="24"/>
          <w:szCs w:val="24"/>
        </w:rPr>
        <w:t>a extinção do contrato, observada a legislação aplicável;</w:t>
      </w:r>
    </w:p>
    <w:p w14:paraId="4B39661F"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 xml:space="preserve">IV – </w:t>
      </w:r>
      <w:proofErr w:type="gramStart"/>
      <w:r w:rsidRPr="009A06AE">
        <w:rPr>
          <w:rFonts w:ascii="Bookman Old Style" w:eastAsia="Times New Roman" w:hAnsi="Bookman Old Style"/>
          <w:sz w:val="24"/>
          <w:szCs w:val="24"/>
        </w:rPr>
        <w:t>a</w:t>
      </w:r>
      <w:proofErr w:type="gramEnd"/>
      <w:r w:rsidRPr="009A06AE">
        <w:rPr>
          <w:rFonts w:ascii="Bookman Old Style" w:eastAsia="Times New Roman" w:hAnsi="Bookman Old Style"/>
          <w:sz w:val="24"/>
          <w:szCs w:val="24"/>
        </w:rPr>
        <w:t xml:space="preserve"> comunicação aos órgãos de controle e às autoridades competentes para apuração de responsabilidade administrativa, civil e penal.</w:t>
      </w:r>
    </w:p>
    <w:p w14:paraId="740F8F92"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16.12.</w:t>
      </w:r>
      <w:r w:rsidRPr="009A06AE">
        <w:rPr>
          <w:rFonts w:ascii="Bookman Old Style" w:eastAsia="Times New Roman" w:hAnsi="Bookman Old Style"/>
          <w:sz w:val="24"/>
          <w:szCs w:val="24"/>
        </w:rPr>
        <w:t xml:space="preserve"> O descumprimento das obrigações previstas nesta cláusula sujeitará 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às sanções previstas neste contrato e na legislação aplicável, inclusive aquelas previstas na Lei nº 14.133/2021 e na Lei nº 12.846/2013, sem prejuízo da reparação integral dos danos causados à Administração.</w:t>
      </w:r>
    </w:p>
    <w:p w14:paraId="1403CBDA"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16.13.</w:t>
      </w:r>
      <w:r w:rsidRPr="009A06AE">
        <w:rPr>
          <w:rFonts w:ascii="Bookman Old Style" w:eastAsia="Times New Roman" w:hAnsi="Bookman Old Style"/>
          <w:sz w:val="24"/>
          <w:szCs w:val="24"/>
        </w:rPr>
        <w:t xml:space="preserve"> O dever de integridade, ética, cooperação, rastreabilidade documental e não prática de atos lesivos subsistirá durante toda a vigência contratual e permanecerá exigível mesmo após a extinção do contrato, no que se referir a fatos ocorridos ou iniciados durante sua execução.</w:t>
      </w:r>
    </w:p>
    <w:p w14:paraId="70B02EC1"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color w:val="156082" w:themeColor="accent1"/>
          <w:sz w:val="24"/>
          <w:szCs w:val="24"/>
        </w:rPr>
      </w:pPr>
      <w:r w:rsidRPr="009A06AE">
        <w:rPr>
          <w:rFonts w:ascii="Bookman Old Style" w:eastAsiaTheme="majorEastAsia" w:hAnsi="Bookman Old Style" w:cstheme="majorBidi"/>
          <w:b/>
          <w:bCs/>
          <w:sz w:val="24"/>
          <w:szCs w:val="24"/>
        </w:rPr>
        <w:t>CLÁUSULA DÉCIMA SÉTIMA – DA PUBLICIDADE, DOS CASOS OMISSOS E DO FORO</w:t>
      </w:r>
    </w:p>
    <w:p w14:paraId="31FE83AC" w14:textId="1F68C4E6"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17.1.</w:t>
      </w:r>
      <w:r w:rsidRPr="009A06AE">
        <w:rPr>
          <w:rFonts w:ascii="Bookman Old Style" w:eastAsia="Times New Roman" w:hAnsi="Bookman Old Style"/>
          <w:sz w:val="24"/>
          <w:szCs w:val="24"/>
        </w:rPr>
        <w:t xml:space="preserve"> 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providenciará a divulgação do contrato e de seus aditamentos no PNCP e no sítio eletrônico oficial do Município, nos termos da legislação aplicável.</w:t>
      </w:r>
    </w:p>
    <w:p w14:paraId="0C0E2425"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17.2.</w:t>
      </w:r>
      <w:r w:rsidRPr="009A06AE">
        <w:rPr>
          <w:rFonts w:ascii="Bookman Old Style" w:eastAsia="Times New Roman" w:hAnsi="Bookman Old Style"/>
          <w:sz w:val="24"/>
          <w:szCs w:val="24"/>
        </w:rPr>
        <w:t xml:space="preserve"> Os casos omissos serão decididos segundo a Lei nº 14.133/2021, o Decreto Municipal nº 1.933/2024 e as demais normas pertinentes.</w:t>
      </w:r>
    </w:p>
    <w:p w14:paraId="158D5DEF" w14:textId="77777777" w:rsidR="009A06AE" w:rsidRPr="009A06AE" w:rsidRDefault="009A06AE" w:rsidP="009A06AE">
      <w:pPr>
        <w:spacing w:before="480" w:after="480" w:line="360" w:lineRule="auto"/>
        <w:ind w:firstLine="1134"/>
        <w:jc w:val="both"/>
        <w:rPr>
          <w:rFonts w:ascii="Bookman Old Style" w:eastAsia="Times New Roman" w:hAnsi="Bookman Old Style"/>
          <w:sz w:val="24"/>
          <w:szCs w:val="24"/>
        </w:rPr>
      </w:pPr>
      <w:r w:rsidRPr="009A06AE">
        <w:rPr>
          <w:rFonts w:ascii="Bookman Old Style" w:eastAsia="Times New Roman" w:hAnsi="Bookman Old Style"/>
          <w:b/>
          <w:bCs/>
          <w:sz w:val="24"/>
          <w:szCs w:val="24"/>
        </w:rPr>
        <w:t>17.3.</w:t>
      </w:r>
      <w:r w:rsidRPr="009A06AE">
        <w:rPr>
          <w:rFonts w:ascii="Bookman Old Style" w:eastAsia="Times New Roman" w:hAnsi="Bookman Old Style"/>
          <w:sz w:val="24"/>
          <w:szCs w:val="24"/>
        </w:rPr>
        <w:t xml:space="preserve"> Fica eleito o foro da </w:t>
      </w:r>
      <w:r w:rsidRPr="009A06AE">
        <w:rPr>
          <w:rFonts w:ascii="Bookman Old Style" w:eastAsia="Times New Roman" w:hAnsi="Bookman Old Style"/>
          <w:b/>
          <w:bCs/>
          <w:sz w:val="24"/>
          <w:szCs w:val="24"/>
        </w:rPr>
        <w:t>Comarca de Paulo de Faria, Estado de São Paulo</w:t>
      </w:r>
      <w:r w:rsidRPr="009A06AE">
        <w:rPr>
          <w:rFonts w:ascii="Bookman Old Style" w:eastAsia="Times New Roman" w:hAnsi="Bookman Old Style"/>
          <w:sz w:val="24"/>
          <w:szCs w:val="24"/>
        </w:rPr>
        <w:t xml:space="preserve"> para dirimir as controvérsias decorrentes deste contrato.</w:t>
      </w:r>
    </w:p>
    <w:p w14:paraId="6B596008" w14:textId="77777777" w:rsidR="009A06AE" w:rsidRDefault="009A06AE" w:rsidP="009A06AE">
      <w:pPr>
        <w:spacing w:before="480" w:after="480" w:line="360" w:lineRule="auto"/>
        <w:jc w:val="center"/>
        <w:rPr>
          <w:rFonts w:ascii="Bookman Old Style" w:eastAsia="Times New Roman" w:hAnsi="Bookman Old Style" w:cs="Times New Roman"/>
          <w:b/>
          <w:bCs/>
          <w:sz w:val="24"/>
          <w:szCs w:val="24"/>
        </w:rPr>
      </w:pPr>
      <w:r w:rsidRPr="009A06AE">
        <w:rPr>
          <w:rFonts w:ascii="Bookman Old Style" w:eastAsia="Times New Roman" w:hAnsi="Bookman Old Style" w:cs="Times New Roman"/>
          <w:b/>
          <w:bCs/>
          <w:sz w:val="24"/>
          <w:szCs w:val="24"/>
        </w:rPr>
        <w:t xml:space="preserve">Orindiúva/SP, </w:t>
      </w:r>
      <w:r w:rsidRPr="009A06AE">
        <w:rPr>
          <w:rFonts w:ascii="Bookman Old Style" w:eastAsia="Times New Roman" w:hAnsi="Bookman Old Style" w:cs="Times New Roman"/>
          <w:b/>
          <w:bCs/>
          <w:sz w:val="24"/>
          <w:szCs w:val="24"/>
          <w:highlight w:val="yellow"/>
        </w:rPr>
        <w:t>[dia]</w:t>
      </w:r>
      <w:r w:rsidRPr="009A06AE">
        <w:rPr>
          <w:rFonts w:ascii="Bookman Old Style" w:eastAsia="Times New Roman" w:hAnsi="Bookman Old Style" w:cs="Times New Roman"/>
          <w:b/>
          <w:bCs/>
          <w:sz w:val="24"/>
          <w:szCs w:val="24"/>
        </w:rPr>
        <w:t xml:space="preserve"> de </w:t>
      </w:r>
      <w:r w:rsidRPr="009A06AE">
        <w:rPr>
          <w:rFonts w:ascii="Bookman Old Style" w:eastAsia="Times New Roman" w:hAnsi="Bookman Old Style" w:cs="Times New Roman"/>
          <w:b/>
          <w:bCs/>
          <w:sz w:val="24"/>
          <w:szCs w:val="24"/>
          <w:highlight w:val="yellow"/>
        </w:rPr>
        <w:t>[mês]</w:t>
      </w:r>
      <w:r w:rsidRPr="009A06AE">
        <w:rPr>
          <w:rFonts w:ascii="Bookman Old Style" w:eastAsia="Times New Roman" w:hAnsi="Bookman Old Style" w:cs="Times New Roman"/>
          <w:b/>
          <w:bCs/>
          <w:sz w:val="24"/>
          <w:szCs w:val="24"/>
        </w:rPr>
        <w:t xml:space="preserve"> de </w:t>
      </w:r>
      <w:r w:rsidRPr="009A06AE">
        <w:rPr>
          <w:rFonts w:ascii="Bookman Old Style" w:eastAsia="Times New Roman" w:hAnsi="Bookman Old Style" w:cs="Times New Roman"/>
          <w:b/>
          <w:bCs/>
          <w:sz w:val="24"/>
          <w:szCs w:val="24"/>
          <w:highlight w:val="yellow"/>
        </w:rPr>
        <w:t>[ano]</w:t>
      </w:r>
      <w:r w:rsidRPr="009A06AE">
        <w:rPr>
          <w:rFonts w:ascii="Bookman Old Style" w:eastAsia="Times New Roman" w:hAnsi="Bookman Old Style" w:cs="Times New Roman"/>
          <w:b/>
          <w:bCs/>
          <w:sz w:val="24"/>
          <w:szCs w:val="24"/>
        </w:rPr>
        <w:t>.</w:t>
      </w:r>
    </w:p>
    <w:p w14:paraId="17B2B0E6" w14:textId="77777777" w:rsidR="00361134" w:rsidRDefault="00361134" w:rsidP="009A06AE">
      <w:pPr>
        <w:spacing w:before="480" w:after="480" w:line="360" w:lineRule="auto"/>
        <w:jc w:val="center"/>
        <w:rPr>
          <w:rFonts w:ascii="Bookman Old Style" w:eastAsia="Times New Roman" w:hAnsi="Bookman Old Style" w:cs="Times New Roman"/>
          <w:b/>
          <w:bCs/>
          <w:sz w:val="24"/>
          <w:szCs w:val="24"/>
        </w:rPr>
      </w:pPr>
    </w:p>
    <w:tbl>
      <w:tblPr>
        <w:tblStyle w:val="Tabelacomgrade5"/>
        <w:tblW w:w="5000" w:type="pct"/>
        <w:tblBorders>
          <w:top w:val="single" w:sz="12"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7"/>
        <w:gridCol w:w="465"/>
        <w:gridCol w:w="4186"/>
      </w:tblGrid>
      <w:tr w:rsidR="009840CC" w:rsidRPr="00361134" w14:paraId="43E612D6" w14:textId="77777777" w:rsidTr="00D52A51">
        <w:tc>
          <w:tcPr>
            <w:tcW w:w="2369" w:type="pct"/>
            <w:vAlign w:val="center"/>
          </w:tcPr>
          <w:p w14:paraId="4F5C9B6A" w14:textId="77777777" w:rsidR="009840CC" w:rsidRDefault="009840CC" w:rsidP="00D52A51">
            <w:pPr>
              <w:spacing w:line="276" w:lineRule="auto"/>
              <w:jc w:val="center"/>
              <w:rPr>
                <w:rFonts w:ascii="Bookman Old Style" w:hAnsi="Bookman Old Style" w:cs="Arial"/>
                <w:b/>
                <w:sz w:val="24"/>
                <w:szCs w:val="24"/>
              </w:rPr>
            </w:pPr>
            <w:r>
              <w:rPr>
                <w:rFonts w:ascii="Bookman Old Style" w:hAnsi="Bookman Old Style" w:cs="Arial"/>
                <w:b/>
                <w:sz w:val="24"/>
                <w:szCs w:val="24"/>
              </w:rPr>
              <w:t>MUNICIPIO DE ORINDIÚVA</w:t>
            </w:r>
          </w:p>
          <w:p w14:paraId="65DBC018" w14:textId="77777777" w:rsidR="00ED6C3C" w:rsidRDefault="00ED6C3C" w:rsidP="00D52A51">
            <w:pPr>
              <w:spacing w:line="276" w:lineRule="auto"/>
              <w:jc w:val="center"/>
              <w:rPr>
                <w:rFonts w:ascii="Bookman Old Style" w:hAnsi="Bookman Old Style" w:cs="Arial"/>
                <w:b/>
                <w:sz w:val="24"/>
                <w:szCs w:val="24"/>
              </w:rPr>
            </w:pPr>
            <w:r w:rsidRPr="00D52A51">
              <w:rPr>
                <w:rFonts w:ascii="Bookman Old Style" w:hAnsi="Bookman Old Style" w:cs="Arial"/>
                <w:b/>
                <w:sz w:val="24"/>
                <w:szCs w:val="24"/>
                <w:highlight w:val="yellow"/>
              </w:rPr>
              <w:t>[AUTORIDADE COMPETENTE]</w:t>
            </w:r>
          </w:p>
          <w:p w14:paraId="098D313E" w14:textId="6F59C6F1" w:rsidR="009840CC" w:rsidRPr="00361134" w:rsidRDefault="00ED6C3C" w:rsidP="00D52A51">
            <w:pPr>
              <w:spacing w:line="276" w:lineRule="auto"/>
              <w:jc w:val="center"/>
              <w:rPr>
                <w:rFonts w:ascii="Bookman Old Style" w:hAnsi="Bookman Old Style" w:cs="Arial"/>
                <w:bCs/>
                <w:sz w:val="24"/>
                <w:szCs w:val="24"/>
              </w:rPr>
            </w:pPr>
            <w:r>
              <w:rPr>
                <w:rFonts w:ascii="Bookman Old Style" w:hAnsi="Bookman Old Style" w:cs="Arial"/>
                <w:b/>
                <w:sz w:val="24"/>
                <w:szCs w:val="24"/>
              </w:rPr>
              <w:t>CONTRATANTE</w:t>
            </w:r>
          </w:p>
        </w:tc>
        <w:tc>
          <w:tcPr>
            <w:tcW w:w="263" w:type="pct"/>
            <w:tcBorders>
              <w:top w:val="nil"/>
            </w:tcBorders>
            <w:vAlign w:val="center"/>
          </w:tcPr>
          <w:p w14:paraId="08A6BB45" w14:textId="77777777" w:rsidR="009840CC" w:rsidRPr="00361134" w:rsidRDefault="009840CC" w:rsidP="00D52A51">
            <w:pPr>
              <w:spacing w:line="276" w:lineRule="auto"/>
              <w:jc w:val="center"/>
              <w:rPr>
                <w:rFonts w:ascii="Bookman Old Style" w:hAnsi="Bookman Old Style" w:cs="Arial"/>
                <w:bCs/>
                <w:sz w:val="24"/>
                <w:szCs w:val="24"/>
              </w:rPr>
            </w:pPr>
          </w:p>
        </w:tc>
        <w:tc>
          <w:tcPr>
            <w:tcW w:w="2368" w:type="pct"/>
            <w:vAlign w:val="center"/>
          </w:tcPr>
          <w:p w14:paraId="6D9A2581" w14:textId="77777777" w:rsidR="009840CC" w:rsidRPr="00D52A51" w:rsidRDefault="005012D3" w:rsidP="00D52A51">
            <w:pPr>
              <w:spacing w:line="276" w:lineRule="auto"/>
              <w:jc w:val="center"/>
              <w:rPr>
                <w:rFonts w:ascii="Bookman Old Style" w:hAnsi="Bookman Old Style" w:cs="Arial"/>
                <w:b/>
                <w:sz w:val="24"/>
                <w:szCs w:val="24"/>
              </w:rPr>
            </w:pPr>
            <w:r w:rsidRPr="00D52A51">
              <w:rPr>
                <w:rFonts w:ascii="Bookman Old Style" w:hAnsi="Bookman Old Style" w:cs="Arial"/>
                <w:b/>
                <w:sz w:val="24"/>
                <w:szCs w:val="24"/>
              </w:rPr>
              <w:t>RAZÃO SOCIAL</w:t>
            </w:r>
          </w:p>
          <w:p w14:paraId="4723D911" w14:textId="5F2189EF" w:rsidR="00D52A51" w:rsidRPr="00D52A51" w:rsidRDefault="00D52A51" w:rsidP="00D52A51">
            <w:pPr>
              <w:spacing w:line="276" w:lineRule="auto"/>
              <w:jc w:val="center"/>
              <w:rPr>
                <w:rFonts w:ascii="Bookman Old Style" w:hAnsi="Bookman Old Style" w:cs="Arial"/>
                <w:b/>
                <w:sz w:val="24"/>
                <w:szCs w:val="24"/>
              </w:rPr>
            </w:pPr>
            <w:r w:rsidRPr="00D52A51">
              <w:rPr>
                <w:rFonts w:ascii="Bookman Old Style" w:hAnsi="Bookman Old Style" w:cs="Arial"/>
                <w:b/>
                <w:sz w:val="24"/>
                <w:szCs w:val="24"/>
                <w:highlight w:val="yellow"/>
              </w:rPr>
              <w:t>[REPRESENTANTE LEGAL]</w:t>
            </w:r>
          </w:p>
          <w:p w14:paraId="7F6AEBD4" w14:textId="333C9C19" w:rsidR="00D52A51" w:rsidRPr="00361134" w:rsidRDefault="005012D3" w:rsidP="00D52A51">
            <w:pPr>
              <w:spacing w:line="276" w:lineRule="auto"/>
              <w:jc w:val="center"/>
              <w:rPr>
                <w:rFonts w:ascii="Bookman Old Style" w:hAnsi="Bookman Old Style" w:cs="Arial"/>
                <w:bCs/>
                <w:sz w:val="24"/>
                <w:szCs w:val="24"/>
              </w:rPr>
            </w:pPr>
            <w:r w:rsidRPr="00D52A51">
              <w:rPr>
                <w:rFonts w:ascii="Bookman Old Style" w:hAnsi="Bookman Old Style" w:cs="Arial"/>
                <w:b/>
                <w:sz w:val="24"/>
                <w:szCs w:val="24"/>
              </w:rPr>
              <w:t>CONTRATADA</w:t>
            </w:r>
          </w:p>
        </w:tc>
      </w:tr>
    </w:tbl>
    <w:p w14:paraId="435429A5" w14:textId="7CCDB769" w:rsidR="009A06AE" w:rsidRDefault="009A06AE" w:rsidP="00361134">
      <w:pPr>
        <w:spacing w:before="480" w:after="480" w:line="360" w:lineRule="auto"/>
        <w:rPr>
          <w:rFonts w:ascii="Bookman Old Style" w:eastAsia="Times New Roman" w:hAnsi="Bookman Old Style" w:cs="Times New Roman"/>
          <w:b/>
          <w:bCs/>
          <w:sz w:val="24"/>
          <w:szCs w:val="24"/>
        </w:rPr>
      </w:pPr>
      <w:r w:rsidRPr="009A06AE">
        <w:rPr>
          <w:rFonts w:ascii="Bookman Old Style" w:eastAsia="Times New Roman" w:hAnsi="Bookman Old Style" w:cs="Times New Roman"/>
          <w:b/>
          <w:bCs/>
          <w:sz w:val="24"/>
          <w:szCs w:val="24"/>
        </w:rPr>
        <w:t>Testemunhas:</w:t>
      </w:r>
    </w:p>
    <w:p w14:paraId="359A3807" w14:textId="77777777" w:rsidR="00361134" w:rsidRDefault="00361134" w:rsidP="00361134">
      <w:pPr>
        <w:spacing w:before="480" w:after="480" w:line="360" w:lineRule="auto"/>
        <w:rPr>
          <w:rFonts w:ascii="Bookman Old Style" w:eastAsia="Times New Roman" w:hAnsi="Bookman Old Style" w:cs="Times New Roman"/>
          <w:b/>
          <w:bCs/>
          <w:sz w:val="24"/>
          <w:szCs w:val="24"/>
        </w:rPr>
      </w:pPr>
    </w:p>
    <w:p w14:paraId="09E88FF6" w14:textId="77777777" w:rsidR="00361134" w:rsidRDefault="00361134" w:rsidP="009A06AE">
      <w:pPr>
        <w:spacing w:before="480" w:after="480" w:line="360" w:lineRule="auto"/>
        <w:jc w:val="center"/>
        <w:rPr>
          <w:rFonts w:ascii="Bookman Old Style" w:eastAsia="Times New Roman" w:hAnsi="Bookman Old Style" w:cs="Times New Roman"/>
          <w:b/>
          <w:bCs/>
          <w:sz w:val="24"/>
          <w:szCs w:val="24"/>
        </w:rPr>
      </w:pPr>
    </w:p>
    <w:tbl>
      <w:tblPr>
        <w:tblStyle w:val="Tabelacomgrade5"/>
        <w:tblW w:w="5000" w:type="pct"/>
        <w:tblBorders>
          <w:top w:val="single" w:sz="8"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7"/>
        <w:gridCol w:w="465"/>
        <w:gridCol w:w="4186"/>
      </w:tblGrid>
      <w:tr w:rsidR="00361134" w:rsidRPr="00361134" w14:paraId="08A3164E" w14:textId="77777777" w:rsidTr="004F3C2E">
        <w:tc>
          <w:tcPr>
            <w:tcW w:w="2368" w:type="pct"/>
            <w:tcBorders>
              <w:top w:val="single" w:sz="12" w:space="0" w:color="auto"/>
            </w:tcBorders>
            <w:vAlign w:val="center"/>
          </w:tcPr>
          <w:p w14:paraId="1608C39D" w14:textId="77777777" w:rsidR="00361134" w:rsidRPr="00361134" w:rsidRDefault="00361134" w:rsidP="00361134">
            <w:pPr>
              <w:rPr>
                <w:rFonts w:ascii="Bookman Old Style" w:hAnsi="Bookman Old Style" w:cs="Arial"/>
                <w:bCs/>
                <w:sz w:val="24"/>
                <w:szCs w:val="24"/>
              </w:rPr>
            </w:pPr>
            <w:r w:rsidRPr="00361134">
              <w:rPr>
                <w:rFonts w:ascii="Bookman Old Style" w:hAnsi="Bookman Old Style" w:cs="Arial"/>
                <w:b/>
                <w:sz w:val="24"/>
                <w:szCs w:val="24"/>
              </w:rPr>
              <w:t>NOME</w:t>
            </w:r>
            <w:r w:rsidRPr="00361134">
              <w:rPr>
                <w:rFonts w:ascii="Bookman Old Style" w:hAnsi="Bookman Old Style" w:cs="Arial"/>
                <w:sz w:val="24"/>
                <w:szCs w:val="24"/>
              </w:rPr>
              <w:t xml:space="preserve">: </w:t>
            </w:r>
          </w:p>
        </w:tc>
        <w:tc>
          <w:tcPr>
            <w:tcW w:w="263" w:type="pct"/>
            <w:tcBorders>
              <w:top w:val="nil"/>
            </w:tcBorders>
            <w:vAlign w:val="center"/>
          </w:tcPr>
          <w:p w14:paraId="69452032" w14:textId="77777777" w:rsidR="00361134" w:rsidRPr="00361134" w:rsidRDefault="00361134" w:rsidP="00361134">
            <w:pPr>
              <w:rPr>
                <w:rFonts w:ascii="Bookman Old Style" w:hAnsi="Bookman Old Style" w:cs="Arial"/>
                <w:bCs/>
                <w:sz w:val="24"/>
                <w:szCs w:val="24"/>
              </w:rPr>
            </w:pPr>
          </w:p>
        </w:tc>
        <w:tc>
          <w:tcPr>
            <w:tcW w:w="2368" w:type="pct"/>
            <w:tcBorders>
              <w:top w:val="single" w:sz="12" w:space="0" w:color="auto"/>
            </w:tcBorders>
            <w:vAlign w:val="center"/>
          </w:tcPr>
          <w:p w14:paraId="1BF106EB" w14:textId="77777777" w:rsidR="00361134" w:rsidRPr="00361134" w:rsidRDefault="00361134" w:rsidP="00361134">
            <w:pPr>
              <w:rPr>
                <w:rFonts w:ascii="Bookman Old Style" w:hAnsi="Bookman Old Style" w:cs="Arial"/>
                <w:bCs/>
                <w:sz w:val="24"/>
                <w:szCs w:val="24"/>
              </w:rPr>
            </w:pPr>
            <w:r w:rsidRPr="00361134">
              <w:rPr>
                <w:rFonts w:ascii="Bookman Old Style" w:hAnsi="Bookman Old Style" w:cs="Arial"/>
                <w:b/>
                <w:sz w:val="24"/>
                <w:szCs w:val="24"/>
              </w:rPr>
              <w:t>NOME</w:t>
            </w:r>
            <w:r w:rsidRPr="00361134">
              <w:rPr>
                <w:rFonts w:ascii="Bookman Old Style" w:hAnsi="Bookman Old Style" w:cs="Arial"/>
                <w:sz w:val="24"/>
                <w:szCs w:val="24"/>
              </w:rPr>
              <w:t>:</w:t>
            </w:r>
          </w:p>
        </w:tc>
      </w:tr>
      <w:tr w:rsidR="00361134" w:rsidRPr="00361134" w14:paraId="4AC12C2F" w14:textId="77777777" w:rsidTr="004F3C2E">
        <w:tc>
          <w:tcPr>
            <w:tcW w:w="2368" w:type="pct"/>
            <w:tcBorders>
              <w:top w:val="nil"/>
            </w:tcBorders>
            <w:vAlign w:val="center"/>
          </w:tcPr>
          <w:p w14:paraId="739B52E6" w14:textId="77777777" w:rsidR="00361134" w:rsidRPr="00361134" w:rsidRDefault="00361134" w:rsidP="00361134">
            <w:pPr>
              <w:spacing w:after="160"/>
              <w:rPr>
                <w:rFonts w:ascii="Bookman Old Style" w:hAnsi="Bookman Old Style" w:cs="Arial"/>
                <w:bCs/>
                <w:sz w:val="24"/>
                <w:szCs w:val="24"/>
              </w:rPr>
            </w:pPr>
            <w:r w:rsidRPr="00361134">
              <w:rPr>
                <w:rFonts w:ascii="Bookman Old Style" w:hAnsi="Bookman Old Style" w:cs="Arial"/>
                <w:b/>
                <w:sz w:val="24"/>
                <w:szCs w:val="24"/>
              </w:rPr>
              <w:t>MATRÍCULA</w:t>
            </w:r>
            <w:r w:rsidRPr="00361134">
              <w:rPr>
                <w:rFonts w:ascii="Bookman Old Style" w:hAnsi="Bookman Old Style" w:cs="Arial"/>
                <w:sz w:val="24"/>
                <w:szCs w:val="24"/>
              </w:rPr>
              <w:t>:</w:t>
            </w:r>
          </w:p>
        </w:tc>
        <w:tc>
          <w:tcPr>
            <w:tcW w:w="263" w:type="pct"/>
            <w:vAlign w:val="center"/>
          </w:tcPr>
          <w:p w14:paraId="28C833F9" w14:textId="77777777" w:rsidR="00361134" w:rsidRPr="00361134" w:rsidRDefault="00361134" w:rsidP="00361134">
            <w:pPr>
              <w:spacing w:after="160"/>
              <w:rPr>
                <w:rFonts w:ascii="Bookman Old Style" w:hAnsi="Bookman Old Style" w:cs="Arial"/>
                <w:bCs/>
                <w:sz w:val="24"/>
                <w:szCs w:val="24"/>
              </w:rPr>
            </w:pPr>
          </w:p>
        </w:tc>
        <w:tc>
          <w:tcPr>
            <w:tcW w:w="2368" w:type="pct"/>
            <w:tcBorders>
              <w:top w:val="nil"/>
            </w:tcBorders>
            <w:vAlign w:val="center"/>
          </w:tcPr>
          <w:p w14:paraId="237E9905" w14:textId="77777777" w:rsidR="00361134" w:rsidRPr="00361134" w:rsidRDefault="00361134" w:rsidP="00361134">
            <w:pPr>
              <w:spacing w:after="160"/>
              <w:rPr>
                <w:rFonts w:ascii="Bookman Old Style" w:hAnsi="Bookman Old Style" w:cs="Arial"/>
                <w:bCs/>
                <w:sz w:val="24"/>
                <w:szCs w:val="24"/>
              </w:rPr>
            </w:pPr>
            <w:r w:rsidRPr="00361134">
              <w:rPr>
                <w:rFonts w:ascii="Bookman Old Style" w:hAnsi="Bookman Old Style" w:cs="Arial"/>
                <w:b/>
                <w:sz w:val="24"/>
                <w:szCs w:val="24"/>
              </w:rPr>
              <w:t>MATRÍCULA</w:t>
            </w:r>
            <w:r w:rsidRPr="00361134">
              <w:rPr>
                <w:rFonts w:ascii="Bookman Old Style" w:hAnsi="Bookman Old Style" w:cs="Arial"/>
                <w:sz w:val="24"/>
                <w:szCs w:val="24"/>
              </w:rPr>
              <w:t>:</w:t>
            </w:r>
          </w:p>
        </w:tc>
      </w:tr>
    </w:tbl>
    <w:p w14:paraId="02940094" w14:textId="77777777" w:rsidR="00BC6FD5" w:rsidRDefault="00BC6FD5" w:rsidP="00BC6FD5"/>
    <w:p w14:paraId="4DD86D1A" w14:textId="77777777" w:rsidR="00BC6FD5" w:rsidRDefault="00BC6FD5" w:rsidP="00BC6FD5"/>
    <w:p w14:paraId="4DF8ACED" w14:textId="19779799"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color w:val="156082" w:themeColor="accent1"/>
          <w:sz w:val="24"/>
          <w:szCs w:val="24"/>
        </w:rPr>
      </w:pPr>
      <w:r w:rsidRPr="009A06AE">
        <w:rPr>
          <w:rFonts w:ascii="Bookman Old Style" w:eastAsiaTheme="majorEastAsia" w:hAnsi="Bookman Old Style" w:cstheme="majorBidi"/>
          <w:b/>
          <w:bCs/>
          <w:sz w:val="24"/>
          <w:szCs w:val="24"/>
        </w:rPr>
        <w:lastRenderedPageBreak/>
        <w:t>ANEXO LC-01 – TERMO DE CIÊNCIA E DE NOTIFICAÇÃO</w:t>
      </w:r>
    </w:p>
    <w:p w14:paraId="580ED8A9" w14:textId="77777777" w:rsidR="009A06AE" w:rsidRPr="009A06AE" w:rsidRDefault="009A06AE" w:rsidP="009A06AE">
      <w:pPr>
        <w:spacing w:before="480" w:after="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MUNICÍPIO DE ORINDIÚVA</w:t>
      </w:r>
    </w:p>
    <w:p w14:paraId="4C9AC00F" w14:textId="77777777" w:rsidR="009A06AE" w:rsidRPr="009A06AE" w:rsidRDefault="009A06AE"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w:t>
      </w:r>
      <w:r w:rsidRPr="009A06AE">
        <w:rPr>
          <w:rFonts w:ascii="Bookman Old Style" w:eastAsia="Times New Roman" w:hAnsi="Bookman Old Style"/>
          <w:sz w:val="24"/>
          <w:szCs w:val="24"/>
          <w:highlight w:val="yellow"/>
        </w:rPr>
        <w:t>[RAZÃO SOCIAL]</w:t>
      </w:r>
    </w:p>
    <w:p w14:paraId="67C6D22B" w14:textId="77777777" w:rsidR="009A06AE" w:rsidRPr="009A06AE" w:rsidRDefault="009A06AE" w:rsidP="004926F9">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CONTRATO Nº (DE ORIGEM):</w:t>
      </w:r>
      <w:r w:rsidRPr="009A06AE">
        <w:rPr>
          <w:rFonts w:ascii="Bookman Old Style" w:eastAsia="Times New Roman" w:hAnsi="Bookman Old Style"/>
          <w:sz w:val="24"/>
          <w:szCs w:val="24"/>
        </w:rPr>
        <w:t xml:space="preserve"> </w:t>
      </w:r>
      <w:r w:rsidRPr="009A06AE">
        <w:rPr>
          <w:rFonts w:ascii="Bookman Old Style" w:eastAsia="Times New Roman" w:hAnsi="Bookman Old Style"/>
          <w:sz w:val="24"/>
          <w:szCs w:val="24"/>
          <w:highlight w:val="yellow"/>
        </w:rPr>
        <w:t>[</w:t>
      </w:r>
      <w:proofErr w:type="gramStart"/>
      <w:r w:rsidRPr="009A06AE">
        <w:rPr>
          <w:rFonts w:ascii="Bookman Old Style" w:eastAsia="Times New Roman" w:hAnsi="Bookman Old Style"/>
          <w:sz w:val="24"/>
          <w:szCs w:val="24"/>
          <w:highlight w:val="yellow"/>
        </w:rPr>
        <w:t>●]</w:t>
      </w:r>
      <w:r w:rsidRPr="009A06AE">
        <w:rPr>
          <w:rFonts w:ascii="Bookman Old Style" w:eastAsia="Times New Roman" w:hAnsi="Bookman Old Style"/>
          <w:sz w:val="24"/>
          <w:szCs w:val="24"/>
        </w:rPr>
        <w:t>/</w:t>
      </w:r>
      <w:proofErr w:type="gramEnd"/>
      <w:r w:rsidRPr="009A06AE">
        <w:rPr>
          <w:rFonts w:ascii="Bookman Old Style" w:eastAsia="Times New Roman" w:hAnsi="Bookman Old Style"/>
          <w:sz w:val="24"/>
          <w:szCs w:val="24"/>
        </w:rPr>
        <w:t>2026</w:t>
      </w:r>
    </w:p>
    <w:p w14:paraId="5179A9D7" w14:textId="77777777" w:rsidR="009A06AE" w:rsidRPr="009A06AE" w:rsidRDefault="009A06AE" w:rsidP="004926F9">
      <w:pPr>
        <w:spacing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OBJETO:</w:t>
      </w:r>
      <w:r w:rsidRPr="009A06AE">
        <w:rPr>
          <w:rFonts w:ascii="Bookman Old Style" w:eastAsia="Times New Roman" w:hAnsi="Bookman Old Style"/>
          <w:sz w:val="24"/>
          <w:szCs w:val="24"/>
        </w:rPr>
        <w:t xml:space="preserve"> </w:t>
      </w:r>
      <w:r w:rsidRPr="009A06AE">
        <w:rPr>
          <w:rFonts w:ascii="Bookman Old Style" w:eastAsia="Times New Roman" w:hAnsi="Bookman Old Style"/>
          <w:i/>
          <w:iCs/>
          <w:sz w:val="24"/>
          <w:szCs w:val="24"/>
        </w:rPr>
        <w:t>CONTRATAÇÃO DE EMPRESA PARA PRESTAÇÃO DE SERVIÇOS COMUNS DE APOIO TÉCNICO-CONTÁBIL, ASSISTÊNCIA E ORIENTAÇÃO OPERACIONAL AO DEPARTAMENTO DE CONTABILIDADE, COMPREENDENDO O APOIO À ELABORAÇÃO, CONFERÊNCIA E VALIDAÇÃO DAS DEMONSTRAÇÕES CONTÁBEIS DO MUNICÍPIO, BEM COMO A GERAÇÃO, CONFERÊNCIA, CORREÇÃO E REMESSA DE DADOS INFORMATIZADOS AO TRIBUNAL DE CONTAS DO ESTADO DE SÃO PAULO – TCE/SP, RELATIVOS AO PROJETO AUDESP, FASES 1 E 2, COM EXECUÇÃO CONTINUADA E SEM DEDICAÇÃO EXCLUSIVA DE MÃO DE OBRA</w:t>
      </w:r>
      <w:r w:rsidRPr="009A06AE">
        <w:rPr>
          <w:rFonts w:ascii="Bookman Old Style" w:eastAsia="Times New Roman" w:hAnsi="Bookman Old Style"/>
          <w:sz w:val="24"/>
          <w:szCs w:val="24"/>
        </w:rPr>
        <w:t>.</w:t>
      </w:r>
    </w:p>
    <w:p w14:paraId="43757E5D"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Pelo presente </w:t>
      </w:r>
      <w:r w:rsidRPr="009A06AE">
        <w:rPr>
          <w:rFonts w:ascii="Bookman Old Style" w:eastAsia="Times New Roman" w:hAnsi="Bookman Old Style"/>
          <w:b/>
          <w:bCs/>
          <w:sz w:val="24"/>
          <w:szCs w:val="24"/>
        </w:rPr>
        <w:t>TERMO</w:t>
      </w:r>
      <w:r w:rsidRPr="009A06AE">
        <w:rPr>
          <w:rFonts w:ascii="Bookman Old Style" w:eastAsia="Times New Roman" w:hAnsi="Bookman Old Style"/>
          <w:sz w:val="24"/>
          <w:szCs w:val="24"/>
        </w:rPr>
        <w:t>, nós, abaixo identificados:</w:t>
      </w:r>
    </w:p>
    <w:p w14:paraId="0D7D86C9" w14:textId="77777777" w:rsidR="009A06AE" w:rsidRPr="004926F9" w:rsidRDefault="009A06AE" w:rsidP="009A06AE">
      <w:pPr>
        <w:spacing w:before="480" w:after="480" w:line="360" w:lineRule="auto"/>
        <w:jc w:val="both"/>
        <w:rPr>
          <w:rFonts w:ascii="Bookman Old Style" w:eastAsia="Times New Roman" w:hAnsi="Bookman Old Style"/>
          <w:bCs/>
          <w:sz w:val="24"/>
          <w:szCs w:val="24"/>
        </w:rPr>
      </w:pPr>
      <w:r w:rsidRPr="004926F9">
        <w:rPr>
          <w:rFonts w:ascii="Bookman Old Style" w:eastAsia="Times New Roman" w:hAnsi="Bookman Old Style"/>
          <w:b/>
          <w:sz w:val="24"/>
          <w:szCs w:val="24"/>
        </w:rPr>
        <w:t>1.</w:t>
      </w:r>
      <w:r w:rsidRPr="004926F9">
        <w:rPr>
          <w:rFonts w:ascii="Bookman Old Style" w:eastAsia="Times New Roman" w:hAnsi="Bookman Old Style"/>
          <w:bCs/>
          <w:sz w:val="24"/>
          <w:szCs w:val="24"/>
        </w:rPr>
        <w:t xml:space="preserve"> Estamos </w:t>
      </w:r>
      <w:r w:rsidRPr="004926F9">
        <w:rPr>
          <w:rFonts w:ascii="Bookman Old Style" w:eastAsia="Times New Roman" w:hAnsi="Bookman Old Style"/>
          <w:b/>
          <w:sz w:val="24"/>
          <w:szCs w:val="24"/>
          <w:u w:val="single"/>
        </w:rPr>
        <w:t>CIENTES</w:t>
      </w:r>
      <w:r w:rsidRPr="004926F9">
        <w:rPr>
          <w:rFonts w:ascii="Bookman Old Style" w:eastAsia="Times New Roman" w:hAnsi="Bookman Old Style"/>
          <w:bCs/>
          <w:sz w:val="24"/>
          <w:szCs w:val="24"/>
        </w:rPr>
        <w:t xml:space="preserve"> de que:</w:t>
      </w:r>
    </w:p>
    <w:p w14:paraId="23A88E0F"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a)</w:t>
      </w:r>
      <w:r w:rsidRPr="009A06AE">
        <w:rPr>
          <w:rFonts w:ascii="Bookman Old Style" w:eastAsia="Times New Roman" w:hAnsi="Bookman Old Style"/>
          <w:sz w:val="24"/>
          <w:szCs w:val="24"/>
        </w:rPr>
        <w:t xml:space="preserve"> o ajuste acima referido, seus aditamentos, bem como o acompanhamento de sua execução contratual, estarão sujeitos a análise e julgamento pelo Tribunal de Contas do Estado de São Paulo, cujo trâmite processual ocorrerá pelo sistema eletrônico;</w:t>
      </w:r>
    </w:p>
    <w:p w14:paraId="145EA267"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b)</w:t>
      </w:r>
      <w:r w:rsidRPr="009A06AE">
        <w:rPr>
          <w:rFonts w:ascii="Bookman Old Style" w:eastAsia="Times New Roman" w:hAnsi="Bookman Old Style"/>
          <w:sz w:val="24"/>
          <w:szCs w:val="24"/>
        </w:rPr>
        <w:t xml:space="preserve"> poderemos ter acesso ao processo, tendo vista e extraindo cópias das manifestações de interesse, Despachos e Decisões, mediante regular cadastramento no Sistema de Processo Eletrônico, em consonância com o estabelecido na Resolução nº 01/2011 do TCESP;</w:t>
      </w:r>
    </w:p>
    <w:p w14:paraId="0D8911CD"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c)</w:t>
      </w:r>
      <w:r w:rsidRPr="009A06AE">
        <w:rPr>
          <w:rFonts w:ascii="Bookman Old Style" w:eastAsia="Times New Roman" w:hAnsi="Bookman Old Style"/>
          <w:sz w:val="24"/>
          <w:szCs w:val="24"/>
        </w:rPr>
        <w:t xml:space="preserve"> 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5E7CAAC8"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d)</w:t>
      </w:r>
      <w:r w:rsidRPr="009A06AE">
        <w:rPr>
          <w:rFonts w:ascii="Bookman Old Style" w:eastAsia="Times New Roman" w:hAnsi="Bookman Old Style"/>
          <w:sz w:val="24"/>
          <w:szCs w:val="24"/>
        </w:rPr>
        <w:t xml:space="preserve"> as informações pessoais dos responsáveis pela </w:t>
      </w: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e interessados estão cadastradas no módulo eletrônico do “Cadastro Corporativo TCESP – </w:t>
      </w:r>
      <w:proofErr w:type="spellStart"/>
      <w:r w:rsidRPr="009A06AE">
        <w:rPr>
          <w:rFonts w:ascii="Bookman Old Style" w:eastAsia="Times New Roman" w:hAnsi="Bookman Old Style"/>
          <w:sz w:val="24"/>
          <w:szCs w:val="24"/>
        </w:rPr>
        <w:t>CadTCESP</w:t>
      </w:r>
      <w:proofErr w:type="spellEnd"/>
      <w:r w:rsidRPr="009A06AE">
        <w:rPr>
          <w:rFonts w:ascii="Bookman Old Style" w:eastAsia="Times New Roman" w:hAnsi="Bookman Old Style"/>
          <w:sz w:val="24"/>
          <w:szCs w:val="24"/>
        </w:rPr>
        <w:t>”, nos termos previstos no Artigo 2º das Instruções nº 01/2020, conforme “Declaração(</w:t>
      </w:r>
      <w:proofErr w:type="spellStart"/>
      <w:r w:rsidRPr="009A06AE">
        <w:rPr>
          <w:rFonts w:ascii="Bookman Old Style" w:eastAsia="Times New Roman" w:hAnsi="Bookman Old Style"/>
          <w:sz w:val="24"/>
          <w:szCs w:val="24"/>
        </w:rPr>
        <w:t>ões</w:t>
      </w:r>
      <w:proofErr w:type="spellEnd"/>
      <w:r w:rsidRPr="009A06AE">
        <w:rPr>
          <w:rFonts w:ascii="Bookman Old Style" w:eastAsia="Times New Roman" w:hAnsi="Bookman Old Style"/>
          <w:sz w:val="24"/>
          <w:szCs w:val="24"/>
        </w:rPr>
        <w:t>) de Atualização Cadastral” anexa (s);</w:t>
      </w:r>
    </w:p>
    <w:p w14:paraId="6FB0952B"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e)</w:t>
      </w:r>
      <w:r w:rsidRPr="009A06AE">
        <w:rPr>
          <w:rFonts w:ascii="Bookman Old Style" w:eastAsia="Times New Roman" w:hAnsi="Bookman Old Style"/>
          <w:sz w:val="24"/>
          <w:szCs w:val="24"/>
        </w:rPr>
        <w:t xml:space="preserve"> é de exclusiva responsabilidade da </w:t>
      </w: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manter seus dados sempre atualizados.</w:t>
      </w:r>
    </w:p>
    <w:p w14:paraId="64577CA5" w14:textId="77777777" w:rsidR="009A06AE" w:rsidRPr="004926F9" w:rsidRDefault="009A06AE" w:rsidP="009A06AE">
      <w:pPr>
        <w:spacing w:before="480" w:after="480" w:line="360" w:lineRule="auto"/>
        <w:jc w:val="both"/>
        <w:rPr>
          <w:rFonts w:ascii="Bookman Old Style" w:eastAsia="Times New Roman" w:hAnsi="Bookman Old Style"/>
          <w:bCs/>
          <w:sz w:val="24"/>
          <w:szCs w:val="24"/>
        </w:rPr>
      </w:pPr>
      <w:r w:rsidRPr="004926F9">
        <w:rPr>
          <w:rFonts w:ascii="Bookman Old Style" w:eastAsia="Times New Roman" w:hAnsi="Bookman Old Style"/>
          <w:b/>
          <w:sz w:val="24"/>
          <w:szCs w:val="24"/>
        </w:rPr>
        <w:t>2.</w:t>
      </w:r>
      <w:r w:rsidRPr="004926F9">
        <w:rPr>
          <w:rFonts w:ascii="Bookman Old Style" w:eastAsia="Times New Roman" w:hAnsi="Bookman Old Style"/>
          <w:bCs/>
          <w:sz w:val="24"/>
          <w:szCs w:val="24"/>
        </w:rPr>
        <w:t xml:space="preserve"> Damo-nos por </w:t>
      </w:r>
      <w:r w:rsidRPr="004926F9">
        <w:rPr>
          <w:rFonts w:ascii="Bookman Old Style" w:eastAsia="Times New Roman" w:hAnsi="Bookman Old Style"/>
          <w:b/>
          <w:sz w:val="24"/>
          <w:szCs w:val="24"/>
          <w:u w:val="single"/>
        </w:rPr>
        <w:t>NOTIFICADOS</w:t>
      </w:r>
      <w:r w:rsidRPr="004926F9">
        <w:rPr>
          <w:rFonts w:ascii="Bookman Old Style" w:eastAsia="Times New Roman" w:hAnsi="Bookman Old Style"/>
          <w:bCs/>
          <w:sz w:val="24"/>
          <w:szCs w:val="24"/>
        </w:rPr>
        <w:t xml:space="preserve"> para:</w:t>
      </w:r>
    </w:p>
    <w:p w14:paraId="0B55A0AF"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a)</w:t>
      </w:r>
      <w:r w:rsidRPr="009A06AE">
        <w:rPr>
          <w:rFonts w:ascii="Bookman Old Style" w:eastAsia="Times New Roman" w:hAnsi="Bookman Old Style"/>
          <w:sz w:val="24"/>
          <w:szCs w:val="24"/>
        </w:rPr>
        <w:t xml:space="preserve"> o acompanhamento dos atos do processo até seu julgamento final e consequente publicação;</w:t>
      </w:r>
    </w:p>
    <w:p w14:paraId="6F020BC6"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b)</w:t>
      </w:r>
      <w:r w:rsidRPr="009A06AE">
        <w:rPr>
          <w:rFonts w:ascii="Bookman Old Style" w:eastAsia="Times New Roman" w:hAnsi="Bookman Old Style"/>
          <w:sz w:val="24"/>
          <w:szCs w:val="24"/>
        </w:rPr>
        <w:t xml:space="preserve"> se for o caso e de nosso interesse, nos prazos e nas formas legais e regimentais, exercer o direito de defesa, interpor recursos e o que mais couber.</w:t>
      </w:r>
    </w:p>
    <w:p w14:paraId="3C8A9F98" w14:textId="77777777" w:rsidR="009A06AE" w:rsidRPr="009A06AE" w:rsidRDefault="009A06AE" w:rsidP="009A06AE">
      <w:pPr>
        <w:spacing w:before="480" w:after="480" w:line="360" w:lineRule="auto"/>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 xml:space="preserve">LOCAL E DATA: Orindiúva/SP, </w:t>
      </w:r>
      <w:r w:rsidRPr="009A06AE">
        <w:rPr>
          <w:rFonts w:ascii="Bookman Old Style" w:eastAsia="Times New Roman" w:hAnsi="Bookman Old Style"/>
          <w:b/>
          <w:bCs/>
          <w:sz w:val="24"/>
          <w:szCs w:val="24"/>
          <w:highlight w:val="yellow"/>
        </w:rPr>
        <w:t>[dia]</w:t>
      </w:r>
      <w:r w:rsidRPr="009A06AE">
        <w:rPr>
          <w:rFonts w:ascii="Bookman Old Style" w:eastAsia="Times New Roman" w:hAnsi="Bookman Old Style"/>
          <w:b/>
          <w:bCs/>
          <w:sz w:val="24"/>
          <w:szCs w:val="24"/>
        </w:rPr>
        <w:t xml:space="preserve"> de </w:t>
      </w:r>
      <w:r w:rsidRPr="009A06AE">
        <w:rPr>
          <w:rFonts w:ascii="Bookman Old Style" w:eastAsia="Times New Roman" w:hAnsi="Bookman Old Style"/>
          <w:b/>
          <w:bCs/>
          <w:sz w:val="24"/>
          <w:szCs w:val="24"/>
          <w:highlight w:val="yellow"/>
        </w:rPr>
        <w:t>[mês]</w:t>
      </w:r>
      <w:r w:rsidRPr="009A06AE">
        <w:rPr>
          <w:rFonts w:ascii="Bookman Old Style" w:eastAsia="Times New Roman" w:hAnsi="Bookman Old Style"/>
          <w:b/>
          <w:bCs/>
          <w:sz w:val="24"/>
          <w:szCs w:val="24"/>
        </w:rPr>
        <w:t xml:space="preserve"> de </w:t>
      </w:r>
      <w:r w:rsidRPr="009A06AE">
        <w:rPr>
          <w:rFonts w:ascii="Bookman Old Style" w:eastAsia="Times New Roman" w:hAnsi="Bookman Old Style"/>
          <w:b/>
          <w:bCs/>
          <w:sz w:val="24"/>
          <w:szCs w:val="24"/>
          <w:highlight w:val="yellow"/>
        </w:rPr>
        <w:t>[ano]</w:t>
      </w:r>
      <w:r w:rsidRPr="009A06AE">
        <w:rPr>
          <w:rFonts w:ascii="Bookman Old Style" w:eastAsia="Times New Roman" w:hAnsi="Bookman Old Style"/>
          <w:b/>
          <w:bCs/>
          <w:sz w:val="24"/>
          <w:szCs w:val="24"/>
        </w:rPr>
        <w:t>.</w:t>
      </w:r>
    </w:p>
    <w:p w14:paraId="2D195D04" w14:textId="77777777" w:rsidR="009A06AE" w:rsidRPr="009A06AE" w:rsidRDefault="009A06AE" w:rsidP="009A06AE">
      <w:pPr>
        <w:spacing w:before="480" w:after="0" w:line="360" w:lineRule="auto"/>
        <w:jc w:val="both"/>
        <w:rPr>
          <w:rFonts w:ascii="Bookman Old Style" w:eastAsia="Times New Roman" w:hAnsi="Bookman Old Style"/>
          <w:sz w:val="24"/>
          <w:szCs w:val="24"/>
          <w:u w:val="single"/>
        </w:rPr>
      </w:pPr>
      <w:r w:rsidRPr="009A06AE">
        <w:rPr>
          <w:rFonts w:ascii="Bookman Old Style" w:eastAsia="Times New Roman" w:hAnsi="Bookman Old Style"/>
          <w:b/>
          <w:bCs/>
          <w:sz w:val="24"/>
          <w:szCs w:val="24"/>
          <w:u w:val="single"/>
        </w:rPr>
        <w:t>AUTORIDADE MÁXIMA DO ÓRGÃO/ENTIDADE:</w:t>
      </w:r>
    </w:p>
    <w:p w14:paraId="41123147" w14:textId="34CAB2EE"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NOME: </w:t>
      </w:r>
      <w:r w:rsidRPr="009A06AE">
        <w:rPr>
          <w:rFonts w:ascii="Bookman Old Style" w:eastAsia="Times New Roman" w:hAnsi="Bookman Old Style"/>
          <w:sz w:val="24"/>
          <w:szCs w:val="24"/>
          <w:highlight w:val="yellow"/>
        </w:rPr>
        <w:t>[AUTORIDADE COMPETENTE]</w:t>
      </w:r>
    </w:p>
    <w:p w14:paraId="71F94DED" w14:textId="5CF89889"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CARGO: </w:t>
      </w:r>
      <w:r w:rsidRPr="009A06AE">
        <w:rPr>
          <w:rFonts w:ascii="Bookman Old Style" w:eastAsia="Times New Roman" w:hAnsi="Bookman Old Style"/>
          <w:sz w:val="24"/>
          <w:szCs w:val="24"/>
          <w:highlight w:val="yellow"/>
        </w:rPr>
        <w:t>[CARGO DA AUTORIDADE COMPETENTE]</w:t>
      </w:r>
    </w:p>
    <w:p w14:paraId="042F74D6" w14:textId="4DBB656F"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CPF: </w:t>
      </w:r>
      <w:r w:rsidRPr="009A06AE">
        <w:rPr>
          <w:rFonts w:ascii="Bookman Old Style" w:eastAsia="Times New Roman" w:hAnsi="Bookman Old Style"/>
          <w:sz w:val="24"/>
          <w:szCs w:val="24"/>
          <w:highlight w:val="yellow"/>
        </w:rPr>
        <w:t>[XXX.XXX.XXX-XX]</w:t>
      </w:r>
    </w:p>
    <w:p w14:paraId="2BA1F369" w14:textId="4BD76E49" w:rsidR="009A06AE" w:rsidRPr="009A06AE" w:rsidRDefault="00DD1676" w:rsidP="009A06AE">
      <w:pPr>
        <w:spacing w:before="240"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ASSINATURA: ___________________________________________________________</w:t>
      </w:r>
    </w:p>
    <w:p w14:paraId="7F03C96C" w14:textId="77777777" w:rsidR="009A06AE" w:rsidRPr="009A06AE" w:rsidRDefault="009A06AE" w:rsidP="009A06AE">
      <w:pPr>
        <w:spacing w:before="480" w:after="0" w:line="360" w:lineRule="auto"/>
        <w:jc w:val="both"/>
        <w:rPr>
          <w:rFonts w:ascii="Bookman Old Style" w:eastAsia="Times New Roman" w:hAnsi="Bookman Old Style"/>
          <w:b/>
          <w:bCs/>
          <w:sz w:val="24"/>
          <w:szCs w:val="24"/>
          <w:u w:val="single"/>
        </w:rPr>
      </w:pPr>
      <w:r w:rsidRPr="009A06AE">
        <w:rPr>
          <w:rFonts w:ascii="Bookman Old Style" w:eastAsia="Times New Roman" w:hAnsi="Bookman Old Style"/>
          <w:b/>
          <w:bCs/>
          <w:sz w:val="24"/>
          <w:szCs w:val="24"/>
          <w:u w:val="single"/>
        </w:rPr>
        <w:t>RESPONSÁVEL PELA AUTORIZAÇÃO/RATIFICAÇÃO DA DISPENSA DE LICITAÇÃO:</w:t>
      </w:r>
    </w:p>
    <w:p w14:paraId="4F5342F9" w14:textId="4280A252"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NOME: </w:t>
      </w:r>
      <w:r w:rsidRPr="009A06AE">
        <w:rPr>
          <w:rFonts w:ascii="Bookman Old Style" w:eastAsia="Times New Roman" w:hAnsi="Bookman Old Style"/>
          <w:sz w:val="24"/>
          <w:szCs w:val="24"/>
          <w:highlight w:val="yellow"/>
        </w:rPr>
        <w:t>[AUTORIDADE COMPETENTE]</w:t>
      </w:r>
    </w:p>
    <w:p w14:paraId="483D2558" w14:textId="109DA5E3"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CARGO: </w:t>
      </w:r>
      <w:r w:rsidRPr="009A06AE">
        <w:rPr>
          <w:rFonts w:ascii="Bookman Old Style" w:eastAsia="Times New Roman" w:hAnsi="Bookman Old Style"/>
          <w:sz w:val="24"/>
          <w:szCs w:val="24"/>
          <w:highlight w:val="yellow"/>
        </w:rPr>
        <w:t>[CARGO DA AUTORIDADE COMPETENTE]</w:t>
      </w:r>
    </w:p>
    <w:p w14:paraId="6CCE8778" w14:textId="24DADC9B" w:rsidR="009A06AE" w:rsidRPr="009A06AE" w:rsidRDefault="00DD1676" w:rsidP="009A06AE">
      <w:pPr>
        <w:spacing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CPF: </w:t>
      </w:r>
      <w:r w:rsidRPr="009A06AE">
        <w:rPr>
          <w:rFonts w:ascii="Bookman Old Style" w:eastAsia="Times New Roman" w:hAnsi="Bookman Old Style"/>
          <w:sz w:val="24"/>
          <w:szCs w:val="24"/>
          <w:highlight w:val="yellow"/>
        </w:rPr>
        <w:t>[XXX.XXX.XXX-XX]</w:t>
      </w:r>
    </w:p>
    <w:p w14:paraId="4A2FF304" w14:textId="5F802152" w:rsidR="009A06AE" w:rsidRPr="009A06AE" w:rsidRDefault="00DD1676"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ASSINATURA: ___________________________________________________________</w:t>
      </w:r>
    </w:p>
    <w:p w14:paraId="394196F3" w14:textId="77777777" w:rsidR="00660612" w:rsidRDefault="00660612" w:rsidP="009A06AE">
      <w:pPr>
        <w:spacing w:before="480" w:after="0" w:line="360" w:lineRule="auto"/>
        <w:jc w:val="both"/>
        <w:rPr>
          <w:rFonts w:ascii="Bookman Old Style" w:eastAsia="Times New Roman" w:hAnsi="Bookman Old Style"/>
          <w:b/>
          <w:bCs/>
          <w:sz w:val="24"/>
          <w:szCs w:val="24"/>
          <w:u w:val="single"/>
        </w:rPr>
      </w:pPr>
    </w:p>
    <w:p w14:paraId="60282BC8" w14:textId="5857BEDA" w:rsidR="009A06AE" w:rsidRPr="009A06AE" w:rsidRDefault="009A06AE" w:rsidP="009A06AE">
      <w:pPr>
        <w:spacing w:before="480" w:after="0" w:line="360" w:lineRule="auto"/>
        <w:jc w:val="both"/>
        <w:rPr>
          <w:rFonts w:ascii="Bookman Old Style" w:eastAsia="Times New Roman" w:hAnsi="Bookman Old Style"/>
          <w:b/>
          <w:bCs/>
          <w:sz w:val="24"/>
          <w:szCs w:val="24"/>
          <w:u w:val="single"/>
        </w:rPr>
      </w:pPr>
      <w:r w:rsidRPr="009A06AE">
        <w:rPr>
          <w:rFonts w:ascii="Bookman Old Style" w:eastAsia="Times New Roman" w:hAnsi="Bookman Old Style"/>
          <w:b/>
          <w:bCs/>
          <w:sz w:val="24"/>
          <w:szCs w:val="24"/>
          <w:u w:val="single"/>
        </w:rPr>
        <w:lastRenderedPageBreak/>
        <w:t>RESPONSÁVEIS QUE ASSINARAM O AJUSTE:</w:t>
      </w:r>
    </w:p>
    <w:p w14:paraId="002471F3" w14:textId="022F3188" w:rsidR="009A06AE" w:rsidRPr="009A06AE" w:rsidRDefault="00DD1676" w:rsidP="009A06AE">
      <w:pPr>
        <w:spacing w:after="0" w:line="360" w:lineRule="auto"/>
        <w:jc w:val="both"/>
        <w:rPr>
          <w:rFonts w:ascii="Bookman Old Style" w:eastAsia="Times New Roman" w:hAnsi="Bookman Old Style"/>
          <w:b/>
          <w:bCs/>
          <w:sz w:val="24"/>
          <w:szCs w:val="24"/>
          <w:u w:val="single"/>
        </w:rPr>
      </w:pPr>
      <w:r w:rsidRPr="009A06AE">
        <w:rPr>
          <w:rFonts w:ascii="Bookman Old Style" w:eastAsia="Times New Roman" w:hAnsi="Bookman Old Style"/>
          <w:b/>
          <w:bCs/>
          <w:sz w:val="24"/>
          <w:szCs w:val="24"/>
          <w:u w:val="single"/>
        </w:rPr>
        <w:t>PELA CONTRATANTE:</w:t>
      </w:r>
    </w:p>
    <w:p w14:paraId="11342609" w14:textId="02442E08"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NOME: </w:t>
      </w:r>
      <w:r w:rsidRPr="009A06AE">
        <w:rPr>
          <w:rFonts w:ascii="Bookman Old Style" w:eastAsia="Times New Roman" w:hAnsi="Bookman Old Style"/>
          <w:sz w:val="24"/>
          <w:szCs w:val="24"/>
          <w:highlight w:val="yellow"/>
        </w:rPr>
        <w:t>[AUTORIDADE COMPETENTE]</w:t>
      </w:r>
    </w:p>
    <w:p w14:paraId="18A3E7F0" w14:textId="7ABB9A47"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CARGO: </w:t>
      </w:r>
      <w:r w:rsidRPr="009A06AE">
        <w:rPr>
          <w:rFonts w:ascii="Bookman Old Style" w:eastAsia="Times New Roman" w:hAnsi="Bookman Old Style"/>
          <w:sz w:val="24"/>
          <w:szCs w:val="24"/>
          <w:highlight w:val="yellow"/>
        </w:rPr>
        <w:t>[CARGO DA AUTORIDADE COMPETENTE]</w:t>
      </w:r>
    </w:p>
    <w:p w14:paraId="63059AAA" w14:textId="346CFF80" w:rsidR="009A06AE" w:rsidRPr="009A06AE" w:rsidRDefault="00DD1676" w:rsidP="009A06AE">
      <w:pPr>
        <w:spacing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CPF: </w:t>
      </w:r>
      <w:r w:rsidRPr="009A06AE">
        <w:rPr>
          <w:rFonts w:ascii="Bookman Old Style" w:eastAsia="Times New Roman" w:hAnsi="Bookman Old Style"/>
          <w:sz w:val="24"/>
          <w:szCs w:val="24"/>
          <w:highlight w:val="yellow"/>
        </w:rPr>
        <w:t>[XXX.XXX.XXX-XX]</w:t>
      </w:r>
    </w:p>
    <w:p w14:paraId="690B4BCC" w14:textId="4CC85451" w:rsidR="009A06AE" w:rsidRPr="009A06AE" w:rsidRDefault="00DD1676"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ASSINATURA: ___________________________________________________________</w:t>
      </w:r>
    </w:p>
    <w:p w14:paraId="7167AD91" w14:textId="7C5FD594" w:rsidR="009A06AE" w:rsidRPr="009A06AE" w:rsidRDefault="00DD1676" w:rsidP="009A06AE">
      <w:pPr>
        <w:spacing w:before="480" w:after="0" w:line="360" w:lineRule="auto"/>
        <w:jc w:val="both"/>
        <w:rPr>
          <w:rFonts w:ascii="Bookman Old Style" w:eastAsia="Times New Roman" w:hAnsi="Bookman Old Style"/>
          <w:b/>
          <w:bCs/>
          <w:sz w:val="24"/>
          <w:szCs w:val="24"/>
          <w:u w:val="single"/>
        </w:rPr>
      </w:pPr>
      <w:r w:rsidRPr="009A06AE">
        <w:rPr>
          <w:rFonts w:ascii="Bookman Old Style" w:eastAsia="Times New Roman" w:hAnsi="Bookman Old Style"/>
          <w:b/>
          <w:bCs/>
          <w:sz w:val="24"/>
          <w:szCs w:val="24"/>
          <w:u w:val="single"/>
        </w:rPr>
        <w:t>PELA CONTRATADA:</w:t>
      </w:r>
    </w:p>
    <w:p w14:paraId="317A996D" w14:textId="109B48D8"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NOME: </w:t>
      </w:r>
      <w:r w:rsidRPr="009A06AE">
        <w:rPr>
          <w:rFonts w:ascii="Bookman Old Style" w:eastAsia="Times New Roman" w:hAnsi="Bookman Old Style"/>
          <w:sz w:val="24"/>
          <w:szCs w:val="24"/>
          <w:highlight w:val="yellow"/>
        </w:rPr>
        <w:t>[RESPONSÁVEL PELA CONTRATADA]</w:t>
      </w:r>
    </w:p>
    <w:p w14:paraId="475CA6EA" w14:textId="75ED184B"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CARGO: </w:t>
      </w:r>
      <w:r w:rsidRPr="009A06AE">
        <w:rPr>
          <w:rFonts w:ascii="Bookman Old Style" w:eastAsia="Times New Roman" w:hAnsi="Bookman Old Style"/>
          <w:sz w:val="24"/>
          <w:szCs w:val="24"/>
          <w:highlight w:val="yellow"/>
        </w:rPr>
        <w:t>[CARGO DO(A) RESPONSÁVEL]</w:t>
      </w:r>
    </w:p>
    <w:p w14:paraId="487C4150" w14:textId="35B97308" w:rsidR="009A06AE" w:rsidRPr="009A06AE" w:rsidRDefault="00DD1676" w:rsidP="009A06AE">
      <w:pPr>
        <w:spacing w:after="12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CPF: </w:t>
      </w:r>
      <w:r w:rsidRPr="009A06AE">
        <w:rPr>
          <w:rFonts w:ascii="Bookman Old Style" w:eastAsia="Times New Roman" w:hAnsi="Bookman Old Style"/>
          <w:sz w:val="24"/>
          <w:szCs w:val="24"/>
          <w:highlight w:val="yellow"/>
        </w:rPr>
        <w:t>[XXX.XXX.XXX-XX]</w:t>
      </w:r>
    </w:p>
    <w:p w14:paraId="61E27FE3" w14:textId="41AF8886" w:rsidR="009A06AE" w:rsidRPr="009A06AE" w:rsidRDefault="00DD1676"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ASSINATURA: ___________________________________________________________</w:t>
      </w:r>
    </w:p>
    <w:p w14:paraId="495121E6" w14:textId="77777777" w:rsidR="009A06AE" w:rsidRPr="009A06AE" w:rsidRDefault="009A06AE" w:rsidP="009A06AE">
      <w:pPr>
        <w:spacing w:before="480" w:after="0" w:line="360" w:lineRule="auto"/>
        <w:jc w:val="both"/>
        <w:rPr>
          <w:rFonts w:ascii="Bookman Old Style" w:eastAsia="Times New Roman" w:hAnsi="Bookman Old Style"/>
          <w:b/>
          <w:bCs/>
          <w:sz w:val="24"/>
          <w:szCs w:val="24"/>
          <w:u w:val="single"/>
        </w:rPr>
      </w:pPr>
      <w:r w:rsidRPr="009A06AE">
        <w:rPr>
          <w:rFonts w:ascii="Bookman Old Style" w:eastAsia="Times New Roman" w:hAnsi="Bookman Old Style"/>
          <w:b/>
          <w:bCs/>
          <w:sz w:val="24"/>
          <w:szCs w:val="24"/>
          <w:u w:val="single"/>
        </w:rPr>
        <w:t>ORDENADOR DE DESPESAS DA CONTRATANTE:</w:t>
      </w:r>
    </w:p>
    <w:p w14:paraId="488E46C0" w14:textId="1E92606E"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NOME: </w:t>
      </w:r>
      <w:r w:rsidRPr="009A06AE">
        <w:rPr>
          <w:rFonts w:ascii="Bookman Old Style" w:eastAsia="Times New Roman" w:hAnsi="Bookman Old Style"/>
          <w:sz w:val="24"/>
          <w:szCs w:val="24"/>
          <w:highlight w:val="yellow"/>
        </w:rPr>
        <w:t>[AUTORIDADE COMPETENTE]</w:t>
      </w:r>
    </w:p>
    <w:p w14:paraId="153D178F" w14:textId="654F8862"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CARGO: </w:t>
      </w:r>
      <w:r w:rsidRPr="009A06AE">
        <w:rPr>
          <w:rFonts w:ascii="Bookman Old Style" w:eastAsia="Times New Roman" w:hAnsi="Bookman Old Style"/>
          <w:sz w:val="24"/>
          <w:szCs w:val="24"/>
          <w:highlight w:val="yellow"/>
        </w:rPr>
        <w:t>[CARGO DA AUTORIDADE COMPETENTE]</w:t>
      </w:r>
    </w:p>
    <w:p w14:paraId="63BD7A53" w14:textId="0E71D8CD" w:rsidR="009A06AE" w:rsidRPr="009A06AE" w:rsidRDefault="00DD1676" w:rsidP="009A06AE">
      <w:pPr>
        <w:spacing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CPF: </w:t>
      </w:r>
      <w:r w:rsidRPr="009A06AE">
        <w:rPr>
          <w:rFonts w:ascii="Bookman Old Style" w:eastAsia="Times New Roman" w:hAnsi="Bookman Old Style"/>
          <w:sz w:val="24"/>
          <w:szCs w:val="24"/>
          <w:highlight w:val="yellow"/>
        </w:rPr>
        <w:t>[XXX.XXX.XXX-XX]</w:t>
      </w:r>
    </w:p>
    <w:p w14:paraId="770AB6E3" w14:textId="391A7685" w:rsidR="009A06AE" w:rsidRPr="009A06AE" w:rsidRDefault="00DD1676"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ASSINATURA: ___________________________________________________________</w:t>
      </w:r>
    </w:p>
    <w:p w14:paraId="4C6686F0" w14:textId="77777777" w:rsidR="00660612" w:rsidRDefault="00660612" w:rsidP="009A06AE">
      <w:pPr>
        <w:spacing w:before="480" w:after="0" w:line="360" w:lineRule="auto"/>
        <w:jc w:val="both"/>
        <w:rPr>
          <w:rFonts w:ascii="Bookman Old Style" w:eastAsia="Times New Roman" w:hAnsi="Bookman Old Style"/>
          <w:b/>
          <w:bCs/>
          <w:sz w:val="24"/>
          <w:szCs w:val="24"/>
          <w:u w:val="single"/>
        </w:rPr>
      </w:pPr>
    </w:p>
    <w:p w14:paraId="0DA2104E" w14:textId="3C484170" w:rsidR="009A06AE" w:rsidRPr="009A06AE" w:rsidRDefault="00DD1676" w:rsidP="009A06AE">
      <w:pPr>
        <w:spacing w:before="480" w:after="0" w:line="360" w:lineRule="auto"/>
        <w:jc w:val="both"/>
        <w:rPr>
          <w:rFonts w:ascii="Bookman Old Style" w:eastAsia="Times New Roman" w:hAnsi="Bookman Old Style"/>
          <w:b/>
          <w:bCs/>
          <w:sz w:val="24"/>
          <w:szCs w:val="24"/>
          <w:u w:val="single"/>
        </w:rPr>
      </w:pPr>
      <w:r w:rsidRPr="009A06AE">
        <w:rPr>
          <w:rFonts w:ascii="Bookman Old Style" w:eastAsia="Times New Roman" w:hAnsi="Bookman Old Style"/>
          <w:b/>
          <w:bCs/>
          <w:sz w:val="24"/>
          <w:szCs w:val="24"/>
          <w:u w:val="single"/>
        </w:rPr>
        <w:lastRenderedPageBreak/>
        <w:t>GESTOR(ES) DO CONTRATO:</w:t>
      </w:r>
    </w:p>
    <w:p w14:paraId="1D582A4C" w14:textId="105B9F61"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NOME: </w:t>
      </w:r>
      <w:r w:rsidRPr="009A06AE">
        <w:rPr>
          <w:rFonts w:ascii="Bookman Old Style" w:eastAsia="Times New Roman" w:hAnsi="Bookman Old Style"/>
          <w:sz w:val="24"/>
          <w:szCs w:val="24"/>
          <w:highlight w:val="yellow"/>
        </w:rPr>
        <w:t>[GESTOR(A) DO CONTRATO]</w:t>
      </w:r>
    </w:p>
    <w:p w14:paraId="5A5B74A8" w14:textId="1D153E53" w:rsidR="009A06AE" w:rsidRPr="009A06AE" w:rsidRDefault="00DD1676"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CARGO: </w:t>
      </w:r>
      <w:r w:rsidRPr="009A06AE">
        <w:rPr>
          <w:rFonts w:ascii="Bookman Old Style" w:eastAsia="Times New Roman" w:hAnsi="Bookman Old Style"/>
          <w:sz w:val="24"/>
          <w:szCs w:val="24"/>
          <w:highlight w:val="yellow"/>
        </w:rPr>
        <w:t>[CARGO DO(A) GESTOR(A)]</w:t>
      </w:r>
    </w:p>
    <w:p w14:paraId="01974314" w14:textId="7205CB07" w:rsidR="009A06AE" w:rsidRPr="009A06AE" w:rsidRDefault="00DD1676" w:rsidP="009A06AE">
      <w:pPr>
        <w:spacing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xml:space="preserve">CPF: </w:t>
      </w:r>
      <w:r w:rsidRPr="009A06AE">
        <w:rPr>
          <w:rFonts w:ascii="Bookman Old Style" w:eastAsia="Times New Roman" w:hAnsi="Bookman Old Style"/>
          <w:sz w:val="24"/>
          <w:szCs w:val="24"/>
          <w:highlight w:val="yellow"/>
        </w:rPr>
        <w:t>[XXX.XXX.XXX-XX]</w:t>
      </w:r>
    </w:p>
    <w:p w14:paraId="22F4F4EA" w14:textId="4F042039" w:rsidR="009A06AE" w:rsidRPr="009A06AE" w:rsidRDefault="00DD1676" w:rsidP="009A06AE">
      <w:pPr>
        <w:spacing w:before="480" w:after="480" w:line="360" w:lineRule="auto"/>
        <w:jc w:val="both"/>
        <w:rPr>
          <w:rFonts w:ascii="Bookman Old Style" w:eastAsia="Times New Roman" w:hAnsi="Bookman Old Style"/>
          <w:sz w:val="24"/>
          <w:szCs w:val="24"/>
          <w:u w:val="single"/>
        </w:rPr>
      </w:pPr>
      <w:r w:rsidRPr="009A06AE">
        <w:rPr>
          <w:rFonts w:ascii="Bookman Old Style" w:eastAsia="Times New Roman" w:hAnsi="Bookman Old Style"/>
          <w:sz w:val="24"/>
          <w:szCs w:val="24"/>
        </w:rPr>
        <w:t>ASSINATURA: ______________________________________________________</w:t>
      </w:r>
      <w:r>
        <w:rPr>
          <w:rFonts w:ascii="Bookman Old Style" w:eastAsia="Times New Roman" w:hAnsi="Bookman Old Style"/>
          <w:sz w:val="24"/>
          <w:szCs w:val="24"/>
        </w:rPr>
        <w:t>___</w:t>
      </w:r>
      <w:r w:rsidRPr="009A06AE">
        <w:rPr>
          <w:rFonts w:ascii="Bookman Old Style" w:eastAsia="Times New Roman" w:hAnsi="Bookman Old Style"/>
          <w:sz w:val="24"/>
          <w:szCs w:val="24"/>
        </w:rPr>
        <w:t>__</w:t>
      </w:r>
    </w:p>
    <w:p w14:paraId="2A6473A7"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 – O Termo de Ciência e Notificação e/ou Cadastro do(s) Responsável(</w:t>
      </w:r>
      <w:proofErr w:type="spellStart"/>
      <w:r w:rsidRPr="009A06AE">
        <w:rPr>
          <w:rFonts w:ascii="Bookman Old Style" w:eastAsia="Times New Roman" w:hAnsi="Bookman Old Style"/>
          <w:sz w:val="24"/>
          <w:szCs w:val="24"/>
        </w:rPr>
        <w:t>is</w:t>
      </w:r>
      <w:proofErr w:type="spellEnd"/>
      <w:r w:rsidRPr="009A06AE">
        <w:rPr>
          <w:rFonts w:ascii="Bookman Old Style" w:eastAsia="Times New Roman" w:hAnsi="Bookman Old Style"/>
          <w:sz w:val="24"/>
          <w:szCs w:val="24"/>
        </w:rPr>
        <w:t>) deve identificar as pessoas físicas que tenham concorrido para a prática do ato jurídico, na condição de ordenador da despesa; de partes contratantes; 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w:t>
      </w:r>
      <w:r w:rsidRPr="009A06AE">
        <w:rPr>
          <w:rFonts w:ascii="Bookman Old Style" w:eastAsia="Times New Roman" w:hAnsi="Bookman Old Style"/>
          <w:i/>
          <w:sz w:val="24"/>
          <w:szCs w:val="24"/>
        </w:rPr>
        <w:t xml:space="preserve">. </w:t>
      </w:r>
      <w:r w:rsidRPr="009A06AE">
        <w:rPr>
          <w:rFonts w:ascii="Bookman Old Style" w:eastAsia="Times New Roman" w:hAnsi="Bookman Old Style"/>
          <w:sz w:val="24"/>
          <w:szCs w:val="24"/>
        </w:rPr>
        <w:t xml:space="preserve">Na hipótese de prestações de contas, caso o signatário do parecer conclusivo seja distinto daqueles já arrolados como subscritores do Termo de Ciência e Notificação, será ele objeto de notificação específica. </w:t>
      </w:r>
      <w:r w:rsidRPr="009A06AE">
        <w:rPr>
          <w:rFonts w:ascii="Bookman Old Style" w:eastAsia="Times New Roman" w:hAnsi="Bookman Old Style"/>
          <w:i/>
          <w:sz w:val="24"/>
          <w:szCs w:val="24"/>
        </w:rPr>
        <w:t>(inciso acrescido pela Resolução nº 11/2021)</w:t>
      </w:r>
      <w:r w:rsidRPr="009A06AE">
        <w:rPr>
          <w:rFonts w:ascii="Bookman Old Style" w:eastAsia="Times New Roman" w:hAnsi="Bookman Old Style"/>
          <w:sz w:val="24"/>
          <w:szCs w:val="24"/>
        </w:rPr>
        <w:t>.</w:t>
      </w:r>
    </w:p>
    <w:p w14:paraId="6AB586F3" w14:textId="77777777" w:rsidR="009A06AE" w:rsidRPr="009A06AE" w:rsidRDefault="009A06AE" w:rsidP="009A06AE">
      <w:pPr>
        <w:tabs>
          <w:tab w:val="left" w:pos="2496"/>
        </w:tabs>
        <w:spacing w:before="480" w:after="480" w:line="360" w:lineRule="auto"/>
        <w:rPr>
          <w:rFonts w:ascii="Bookman Old Style" w:eastAsia="Times New Roman" w:hAnsi="Bookman Old Style" w:cs="Times New Roman"/>
          <w:sz w:val="24"/>
          <w:szCs w:val="24"/>
        </w:rPr>
      </w:pPr>
    </w:p>
    <w:p w14:paraId="51070017" w14:textId="77777777" w:rsidR="009A06AE" w:rsidRPr="009A06AE" w:rsidRDefault="009A06AE" w:rsidP="009A06AE">
      <w:pPr>
        <w:tabs>
          <w:tab w:val="left" w:pos="2496"/>
        </w:tabs>
        <w:spacing w:before="480" w:after="480" w:line="360" w:lineRule="auto"/>
        <w:rPr>
          <w:rFonts w:ascii="Bookman Old Style" w:eastAsia="Times New Roman" w:hAnsi="Bookman Old Style" w:cs="Times New Roman"/>
          <w:sz w:val="24"/>
          <w:szCs w:val="24"/>
        </w:rPr>
      </w:pPr>
    </w:p>
    <w:p w14:paraId="149B526B" w14:textId="77777777" w:rsidR="009A06AE" w:rsidRPr="009A06AE" w:rsidRDefault="009A06AE" w:rsidP="009A06AE">
      <w:pPr>
        <w:keepNext/>
        <w:keepLines/>
        <w:shd w:val="clear" w:color="auto" w:fill="D9D9D9" w:themeFill="background1" w:themeFillShade="D9"/>
        <w:spacing w:before="480" w:after="480" w:line="360" w:lineRule="auto"/>
        <w:jc w:val="both"/>
        <w:outlineLvl w:val="1"/>
        <w:rPr>
          <w:rFonts w:ascii="Bookman Old Style" w:eastAsiaTheme="majorEastAsia" w:hAnsi="Bookman Old Style" w:cstheme="majorBidi"/>
          <w:b/>
          <w:bCs/>
          <w:color w:val="156082" w:themeColor="accent1"/>
          <w:sz w:val="24"/>
          <w:szCs w:val="24"/>
        </w:rPr>
      </w:pPr>
      <w:r w:rsidRPr="009A06AE">
        <w:rPr>
          <w:rFonts w:ascii="Bookman Old Style" w:eastAsiaTheme="majorEastAsia" w:hAnsi="Bookman Old Style" w:cstheme="majorBidi"/>
          <w:b/>
          <w:bCs/>
          <w:sz w:val="24"/>
          <w:szCs w:val="24"/>
        </w:rPr>
        <w:lastRenderedPageBreak/>
        <w:t>ANEXO LC-02 – DECLARAÇÃO DE DOCUMENTOS À DISPOSIÇÃO DO TCE-SP</w:t>
      </w:r>
    </w:p>
    <w:p w14:paraId="25B5811B" w14:textId="77777777" w:rsidR="009A06AE" w:rsidRPr="009A06AE" w:rsidRDefault="009A06AE" w:rsidP="009A06AE">
      <w:pPr>
        <w:spacing w:before="480" w:after="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CONTRATANTE:</w:t>
      </w:r>
      <w:r w:rsidRPr="009A06AE">
        <w:rPr>
          <w:rFonts w:ascii="Bookman Old Style" w:eastAsia="Times New Roman" w:hAnsi="Bookman Old Style"/>
          <w:sz w:val="24"/>
          <w:szCs w:val="24"/>
        </w:rPr>
        <w:t xml:space="preserve"> MUNICÍPIO DE ORINDIÚVA</w:t>
      </w:r>
    </w:p>
    <w:p w14:paraId="3F269F0F" w14:textId="77777777" w:rsidR="009A06AE" w:rsidRPr="009A06AE" w:rsidRDefault="009A06AE"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CNPJ Nº:</w:t>
      </w:r>
      <w:r w:rsidRPr="009A06AE">
        <w:rPr>
          <w:rFonts w:ascii="Bookman Old Style" w:eastAsia="Times New Roman" w:hAnsi="Bookman Old Style"/>
          <w:sz w:val="24"/>
          <w:szCs w:val="24"/>
        </w:rPr>
        <w:t xml:space="preserve"> 45.148.970/0001-77</w:t>
      </w:r>
    </w:p>
    <w:p w14:paraId="47B0C968" w14:textId="77777777" w:rsidR="009A06AE" w:rsidRPr="009A06AE" w:rsidRDefault="009A06AE"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CONTRATADA:</w:t>
      </w:r>
      <w:r w:rsidRPr="009A06AE">
        <w:rPr>
          <w:rFonts w:ascii="Bookman Old Style" w:eastAsia="Times New Roman" w:hAnsi="Bookman Old Style"/>
          <w:sz w:val="24"/>
          <w:szCs w:val="24"/>
        </w:rPr>
        <w:t xml:space="preserve"> </w:t>
      </w:r>
      <w:r w:rsidRPr="009A06AE">
        <w:rPr>
          <w:rFonts w:ascii="Bookman Old Style" w:eastAsia="Times New Roman" w:hAnsi="Bookman Old Style"/>
          <w:sz w:val="24"/>
          <w:szCs w:val="24"/>
          <w:highlight w:val="yellow"/>
        </w:rPr>
        <w:t>[RAZÃO SOCIAL]</w:t>
      </w:r>
    </w:p>
    <w:p w14:paraId="642B7525" w14:textId="77777777" w:rsidR="009A06AE" w:rsidRPr="009A06AE" w:rsidRDefault="009A06AE"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CNPJ Nº:</w:t>
      </w:r>
      <w:r w:rsidRPr="009A06AE">
        <w:rPr>
          <w:rFonts w:ascii="Bookman Old Style" w:eastAsia="Times New Roman" w:hAnsi="Bookman Old Style"/>
          <w:sz w:val="24"/>
          <w:szCs w:val="24"/>
        </w:rPr>
        <w:t xml:space="preserve"> </w:t>
      </w:r>
      <w:r w:rsidRPr="009A06AE">
        <w:rPr>
          <w:rFonts w:ascii="Bookman Old Style" w:eastAsia="Times New Roman" w:hAnsi="Bookman Old Style"/>
          <w:sz w:val="24"/>
          <w:szCs w:val="24"/>
          <w:highlight w:val="yellow"/>
        </w:rPr>
        <w:t>[XX.XXX.XXX/XXXX-XX]</w:t>
      </w:r>
    </w:p>
    <w:p w14:paraId="7239E887" w14:textId="77777777" w:rsidR="009A06AE" w:rsidRPr="009A06AE" w:rsidRDefault="009A06AE"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CONTRATO Nº (DE ORIGEM):</w:t>
      </w:r>
      <w:r w:rsidRPr="009A06AE">
        <w:rPr>
          <w:rFonts w:ascii="Bookman Old Style" w:eastAsia="Times New Roman" w:hAnsi="Bookman Old Style"/>
          <w:sz w:val="24"/>
          <w:szCs w:val="24"/>
        </w:rPr>
        <w:t xml:space="preserve"> </w:t>
      </w:r>
      <w:r w:rsidRPr="009A06AE">
        <w:rPr>
          <w:rFonts w:ascii="Bookman Old Style" w:eastAsia="Times New Roman" w:hAnsi="Bookman Old Style"/>
          <w:sz w:val="24"/>
          <w:szCs w:val="24"/>
          <w:highlight w:val="yellow"/>
        </w:rPr>
        <w:t>[</w:t>
      </w:r>
      <w:proofErr w:type="gramStart"/>
      <w:r w:rsidRPr="009A06AE">
        <w:rPr>
          <w:rFonts w:ascii="Bookman Old Style" w:eastAsia="Times New Roman" w:hAnsi="Bookman Old Style"/>
          <w:sz w:val="24"/>
          <w:szCs w:val="24"/>
          <w:highlight w:val="yellow"/>
        </w:rPr>
        <w:t>●]</w:t>
      </w:r>
      <w:r w:rsidRPr="009A06AE">
        <w:rPr>
          <w:rFonts w:ascii="Bookman Old Style" w:eastAsia="Times New Roman" w:hAnsi="Bookman Old Style"/>
          <w:sz w:val="24"/>
          <w:szCs w:val="24"/>
        </w:rPr>
        <w:t>/</w:t>
      </w:r>
      <w:proofErr w:type="gramEnd"/>
      <w:r w:rsidRPr="009A06AE">
        <w:rPr>
          <w:rFonts w:ascii="Bookman Old Style" w:eastAsia="Times New Roman" w:hAnsi="Bookman Old Style"/>
          <w:sz w:val="24"/>
          <w:szCs w:val="24"/>
        </w:rPr>
        <w:t>2026</w:t>
      </w:r>
    </w:p>
    <w:p w14:paraId="329A65F3" w14:textId="471A4097" w:rsidR="009A06AE" w:rsidRPr="009A06AE" w:rsidRDefault="009A06AE"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PROCESSO ADMINISTRATIVO Nº:</w:t>
      </w:r>
      <w:r w:rsidRPr="009A06AE">
        <w:rPr>
          <w:rFonts w:ascii="Bookman Old Style" w:eastAsia="Times New Roman" w:hAnsi="Bookman Old Style"/>
          <w:sz w:val="24"/>
          <w:szCs w:val="24"/>
        </w:rPr>
        <w:t xml:space="preserve"> </w:t>
      </w:r>
      <w:r w:rsidR="0026231F">
        <w:rPr>
          <w:rFonts w:ascii="Bookman Old Style" w:eastAsia="Times New Roman" w:hAnsi="Bookman Old Style"/>
          <w:sz w:val="24"/>
          <w:szCs w:val="24"/>
        </w:rPr>
        <w:t>36</w:t>
      </w:r>
      <w:r w:rsidRPr="009A06AE">
        <w:rPr>
          <w:rFonts w:ascii="Bookman Old Style" w:eastAsia="Times New Roman" w:hAnsi="Bookman Old Style"/>
          <w:sz w:val="24"/>
          <w:szCs w:val="24"/>
        </w:rPr>
        <w:t xml:space="preserve">/2026 </w:t>
      </w:r>
    </w:p>
    <w:p w14:paraId="6845EC1F" w14:textId="62B8EF7F" w:rsidR="009A06AE" w:rsidRPr="009A06AE" w:rsidRDefault="009A06AE"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DISPENSA DE LICITAÇÃO Nº:</w:t>
      </w:r>
      <w:r w:rsidRPr="009A06AE">
        <w:rPr>
          <w:rFonts w:ascii="Bookman Old Style" w:eastAsia="Times New Roman" w:hAnsi="Bookman Old Style"/>
          <w:sz w:val="24"/>
          <w:szCs w:val="24"/>
        </w:rPr>
        <w:t xml:space="preserve"> </w:t>
      </w:r>
      <w:r w:rsidR="0026231F">
        <w:rPr>
          <w:rFonts w:ascii="Bookman Old Style" w:eastAsia="Times New Roman" w:hAnsi="Bookman Old Style"/>
          <w:sz w:val="24"/>
          <w:szCs w:val="24"/>
        </w:rPr>
        <w:t>17</w:t>
      </w:r>
      <w:r w:rsidRPr="009A06AE">
        <w:rPr>
          <w:rFonts w:ascii="Bookman Old Style" w:eastAsia="Times New Roman" w:hAnsi="Bookman Old Style"/>
          <w:sz w:val="24"/>
          <w:szCs w:val="24"/>
        </w:rPr>
        <w:t>/2026</w:t>
      </w:r>
    </w:p>
    <w:p w14:paraId="5D806117" w14:textId="77777777" w:rsidR="009A06AE" w:rsidRPr="009A06AE" w:rsidRDefault="009A06AE" w:rsidP="009A06AE">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DATA DA ASSINATURA:</w:t>
      </w:r>
      <w:r w:rsidRPr="009A06AE">
        <w:rPr>
          <w:rFonts w:ascii="Bookman Old Style" w:eastAsia="Times New Roman" w:hAnsi="Bookman Old Style"/>
          <w:sz w:val="24"/>
          <w:szCs w:val="24"/>
        </w:rPr>
        <w:t xml:space="preserve"> </w:t>
      </w:r>
      <w:r w:rsidRPr="009A06AE">
        <w:rPr>
          <w:rFonts w:ascii="Bookman Old Style" w:eastAsia="Times New Roman" w:hAnsi="Bookman Old Style"/>
          <w:sz w:val="24"/>
          <w:szCs w:val="24"/>
          <w:highlight w:val="yellow"/>
        </w:rPr>
        <w:t>[dia]</w:t>
      </w:r>
      <w:r w:rsidRPr="009A06AE">
        <w:rPr>
          <w:rFonts w:ascii="Bookman Old Style" w:eastAsia="Times New Roman" w:hAnsi="Bookman Old Style"/>
          <w:sz w:val="24"/>
          <w:szCs w:val="24"/>
        </w:rPr>
        <w:t>/</w:t>
      </w:r>
      <w:r w:rsidRPr="009A06AE">
        <w:rPr>
          <w:rFonts w:ascii="Bookman Old Style" w:eastAsia="Times New Roman" w:hAnsi="Bookman Old Style"/>
          <w:sz w:val="24"/>
          <w:szCs w:val="24"/>
          <w:highlight w:val="yellow"/>
        </w:rPr>
        <w:t>[mês]</w:t>
      </w:r>
      <w:r w:rsidRPr="009A06AE">
        <w:rPr>
          <w:rFonts w:ascii="Bookman Old Style" w:eastAsia="Times New Roman" w:hAnsi="Bookman Old Style"/>
          <w:sz w:val="24"/>
          <w:szCs w:val="24"/>
        </w:rPr>
        <w:t>/</w:t>
      </w:r>
      <w:r w:rsidRPr="009A06AE">
        <w:rPr>
          <w:rFonts w:ascii="Bookman Old Style" w:eastAsia="Times New Roman" w:hAnsi="Bookman Old Style"/>
          <w:sz w:val="24"/>
          <w:szCs w:val="24"/>
          <w:highlight w:val="yellow"/>
        </w:rPr>
        <w:t>[ano]</w:t>
      </w:r>
    </w:p>
    <w:p w14:paraId="2119848D" w14:textId="77777777" w:rsidR="009A06AE" w:rsidRPr="009A06AE" w:rsidRDefault="009A06AE" w:rsidP="004926F9">
      <w:pPr>
        <w:spacing w:after="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VIGÊNCIA:</w:t>
      </w:r>
      <w:r w:rsidRPr="009A06AE">
        <w:rPr>
          <w:rFonts w:ascii="Bookman Old Style" w:eastAsia="Times New Roman" w:hAnsi="Bookman Old Style"/>
          <w:sz w:val="24"/>
          <w:szCs w:val="24"/>
        </w:rPr>
        <w:t xml:space="preserve"> de </w:t>
      </w:r>
      <w:r w:rsidRPr="009A06AE">
        <w:rPr>
          <w:rFonts w:ascii="Bookman Old Style" w:eastAsia="Times New Roman" w:hAnsi="Bookman Old Style"/>
          <w:sz w:val="24"/>
          <w:szCs w:val="24"/>
          <w:highlight w:val="yellow"/>
        </w:rPr>
        <w:t>[data da assinatura]</w:t>
      </w:r>
      <w:r w:rsidRPr="009A06AE">
        <w:rPr>
          <w:rFonts w:ascii="Bookman Old Style" w:eastAsia="Times New Roman" w:hAnsi="Bookman Old Style"/>
          <w:sz w:val="24"/>
          <w:szCs w:val="24"/>
        </w:rPr>
        <w:t xml:space="preserve"> até </w:t>
      </w:r>
      <w:r w:rsidRPr="009A06AE">
        <w:rPr>
          <w:rFonts w:ascii="Bookman Old Style" w:eastAsia="Times New Roman" w:hAnsi="Bookman Old Style"/>
          <w:sz w:val="24"/>
          <w:szCs w:val="24"/>
          <w:highlight w:val="yellow"/>
        </w:rPr>
        <w:t>[data final]</w:t>
      </w:r>
      <w:r w:rsidRPr="009A06AE">
        <w:rPr>
          <w:rFonts w:ascii="Bookman Old Style" w:eastAsia="Times New Roman" w:hAnsi="Bookman Old Style"/>
          <w:sz w:val="24"/>
          <w:szCs w:val="24"/>
        </w:rPr>
        <w:t>, correspondente ao período de 12 (doze) meses.</w:t>
      </w:r>
    </w:p>
    <w:p w14:paraId="6AFEDCDA" w14:textId="77777777" w:rsidR="009A06AE" w:rsidRPr="009A06AE" w:rsidRDefault="009A06AE" w:rsidP="004926F9">
      <w:pPr>
        <w:spacing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OBJETO:</w:t>
      </w:r>
      <w:r w:rsidRPr="009A06AE">
        <w:rPr>
          <w:rFonts w:ascii="Bookman Old Style" w:eastAsia="Times New Roman" w:hAnsi="Bookman Old Style"/>
          <w:sz w:val="24"/>
          <w:szCs w:val="24"/>
        </w:rPr>
        <w:t xml:space="preserve"> </w:t>
      </w:r>
      <w:r w:rsidRPr="009A06AE">
        <w:rPr>
          <w:rFonts w:ascii="Bookman Old Style" w:eastAsia="Times New Roman" w:hAnsi="Bookman Old Style"/>
          <w:i/>
          <w:iCs/>
          <w:sz w:val="24"/>
          <w:szCs w:val="24"/>
        </w:rPr>
        <w:t>CONTRATAÇÃO DE EMPRESA PARA PRESTAÇÃO DE SERVIÇOS COMUNS DE APOIO TÉCNICO-CONTÁBIL, ASSISTÊNCIA E ORIENTAÇÃO OPERACIONAL AO DEPARTAMENTO DE CONTABILIDADE, COMPREENDENDO O APOIO À ELABORAÇÃO, CONFERÊNCIA E VALIDAÇÃO DAS DEMONSTRAÇÕES CONTÁBEIS DO MUNICÍPIO, BEM COMO A GERAÇÃO, CONFERÊNCIA, CORREÇÃO E REMESSA DE DADOS INFORMATIZADOS AO TRIBUNAL DE CONTAS DO ESTADO DE SÃO PAULO – TCE/SP, RELATIVOS AO PROJETO AUDESP, FASES 1 E 2, COM EXECUÇÃO CONTINUADA E SEM DEDICAÇÃO EXCLUSIVA DE MÃO DE OBRA</w:t>
      </w:r>
      <w:r w:rsidRPr="009A06AE">
        <w:rPr>
          <w:rFonts w:ascii="Bookman Old Style" w:eastAsia="Times New Roman" w:hAnsi="Bookman Old Style"/>
          <w:sz w:val="24"/>
          <w:szCs w:val="24"/>
        </w:rPr>
        <w:t>.</w:t>
      </w:r>
    </w:p>
    <w:p w14:paraId="4E6B89E9"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VALOR:</w:t>
      </w:r>
      <w:r w:rsidRPr="009A06AE">
        <w:rPr>
          <w:rFonts w:ascii="Bookman Old Style" w:eastAsia="Times New Roman" w:hAnsi="Bookman Old Style"/>
          <w:sz w:val="24"/>
          <w:szCs w:val="24"/>
        </w:rPr>
        <w:t xml:space="preserve"> </w:t>
      </w:r>
      <w:r w:rsidRPr="009A06AE">
        <w:rPr>
          <w:rFonts w:ascii="Bookman Old Style" w:eastAsia="Times New Roman" w:hAnsi="Bookman Old Style"/>
          <w:sz w:val="24"/>
          <w:szCs w:val="24"/>
          <w:highlight w:val="yellow"/>
        </w:rPr>
        <w:t>R$ [●] ([EXTENSO])</w:t>
      </w:r>
      <w:r w:rsidRPr="009A06AE">
        <w:rPr>
          <w:rFonts w:ascii="Bookman Old Style" w:eastAsia="Times New Roman" w:hAnsi="Bookman Old Style"/>
          <w:sz w:val="24"/>
          <w:szCs w:val="24"/>
        </w:rPr>
        <w:t>.</w:t>
      </w:r>
    </w:p>
    <w:p w14:paraId="0E968D15"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lastRenderedPageBreak/>
        <w:t>Declaro(amos), na qualidade de responsável(</w:t>
      </w:r>
      <w:proofErr w:type="spellStart"/>
      <w:r w:rsidRPr="009A06AE">
        <w:rPr>
          <w:rFonts w:ascii="Bookman Old Style" w:eastAsia="Times New Roman" w:hAnsi="Bookman Old Style"/>
          <w:sz w:val="24"/>
          <w:szCs w:val="24"/>
        </w:rPr>
        <w:t>is</w:t>
      </w:r>
      <w:proofErr w:type="spellEnd"/>
      <w:r w:rsidRPr="009A06AE">
        <w:rPr>
          <w:rFonts w:ascii="Bookman Old Style" w:eastAsia="Times New Roman" w:hAnsi="Bookman Old Style"/>
          <w:sz w:val="24"/>
          <w:szCs w:val="24"/>
        </w:rPr>
        <w:t>) pela entidade supra identificada, sob as penas da lei, que os documentos originais pertinentes ao respectivo processo administrativo de contratação, inclusive aqueles que deram suporte à licitação ou à contratação direta, encontram-se arquivados na origem, à disposição do Tribunal de Contas do Estado de São Paulo, e serão remetidos quando requisitados.</w:t>
      </w:r>
    </w:p>
    <w:p w14:paraId="40AF2583"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sz w:val="24"/>
          <w:szCs w:val="24"/>
        </w:rPr>
        <w:t>Declaro(amos), ainda, que permanecem à disposição do Tribunal de Contas do Estado de São Paulo todos os documentos relativos à instrução, formalização, execução, fiscalização, pagamento e eventuais alterações contratuais, inclusive, quando cabível:</w:t>
      </w:r>
    </w:p>
    <w:p w14:paraId="1A3EE5FD"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a)</w:t>
      </w:r>
      <w:r w:rsidRPr="009A06AE">
        <w:rPr>
          <w:rFonts w:ascii="Bookman Old Style" w:eastAsia="Times New Roman" w:hAnsi="Bookman Old Style"/>
          <w:sz w:val="24"/>
          <w:szCs w:val="24"/>
        </w:rPr>
        <w:t xml:space="preserve"> Documento de Formalização de Demanda;</w:t>
      </w:r>
    </w:p>
    <w:p w14:paraId="7A09D4C0"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b)</w:t>
      </w:r>
      <w:r w:rsidRPr="009A06AE">
        <w:rPr>
          <w:rFonts w:ascii="Bookman Old Style" w:eastAsia="Times New Roman" w:hAnsi="Bookman Old Style"/>
          <w:sz w:val="24"/>
          <w:szCs w:val="24"/>
        </w:rPr>
        <w:t xml:space="preserve"> Estudo Técnico Preliminar;</w:t>
      </w:r>
    </w:p>
    <w:p w14:paraId="6633D2A4"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c)</w:t>
      </w:r>
      <w:r w:rsidRPr="009A06AE">
        <w:rPr>
          <w:rFonts w:ascii="Bookman Old Style" w:eastAsia="Times New Roman" w:hAnsi="Bookman Old Style"/>
          <w:sz w:val="24"/>
          <w:szCs w:val="24"/>
        </w:rPr>
        <w:t xml:space="preserve"> Termo de Referência, projeto básico ou documento técnico equivalente, conforme o caso;</w:t>
      </w:r>
    </w:p>
    <w:p w14:paraId="6D24D862"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d)</w:t>
      </w:r>
      <w:r w:rsidRPr="009A06AE">
        <w:rPr>
          <w:rFonts w:ascii="Bookman Old Style" w:eastAsia="Times New Roman" w:hAnsi="Bookman Old Style"/>
          <w:sz w:val="24"/>
          <w:szCs w:val="24"/>
        </w:rPr>
        <w:t xml:space="preserve"> Estimativa de despesa e pesquisa de preços ou justificativa de preço;</w:t>
      </w:r>
    </w:p>
    <w:p w14:paraId="398E1CA4"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e)</w:t>
      </w:r>
      <w:r w:rsidRPr="009A06AE">
        <w:rPr>
          <w:rFonts w:ascii="Bookman Old Style" w:eastAsia="Times New Roman" w:hAnsi="Bookman Old Style"/>
          <w:sz w:val="24"/>
          <w:szCs w:val="24"/>
        </w:rPr>
        <w:t xml:space="preserve"> Ato de autorização, ratificação, aviso de contratação direta e respectivos anexos, quando houver;</w:t>
      </w:r>
    </w:p>
    <w:p w14:paraId="1BED8EEE"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lastRenderedPageBreak/>
        <w:t>f)</w:t>
      </w:r>
      <w:r w:rsidRPr="009A06AE">
        <w:rPr>
          <w:rFonts w:ascii="Bookman Old Style" w:eastAsia="Times New Roman" w:hAnsi="Bookman Old Style"/>
          <w:sz w:val="24"/>
          <w:szCs w:val="24"/>
        </w:rPr>
        <w:t xml:space="preserve"> Propostas, documentos de habilitação e demais documentos apresentados pela contratada;</w:t>
      </w:r>
    </w:p>
    <w:p w14:paraId="039101A7"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g)</w:t>
      </w:r>
      <w:r w:rsidRPr="009A06AE">
        <w:rPr>
          <w:rFonts w:ascii="Bookman Old Style" w:eastAsia="Times New Roman" w:hAnsi="Bookman Old Style"/>
          <w:sz w:val="24"/>
          <w:szCs w:val="24"/>
        </w:rPr>
        <w:t xml:space="preserve"> Pareceres técnicos e jurídicos, quando cabíveis;</w:t>
      </w:r>
    </w:p>
    <w:p w14:paraId="6CF91831"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h)</w:t>
      </w:r>
      <w:r w:rsidRPr="009A06AE">
        <w:rPr>
          <w:rFonts w:ascii="Bookman Old Style" w:eastAsia="Times New Roman" w:hAnsi="Bookman Old Style"/>
          <w:sz w:val="24"/>
          <w:szCs w:val="24"/>
        </w:rPr>
        <w:t xml:space="preserve"> Nota de empenho, contrato administrativo e eventuais termos aditivos, apostilas ou instrumentos equivalentes;</w:t>
      </w:r>
    </w:p>
    <w:p w14:paraId="2B21F64E"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i)</w:t>
      </w:r>
      <w:r w:rsidRPr="009A06AE">
        <w:rPr>
          <w:rFonts w:ascii="Bookman Old Style" w:eastAsia="Times New Roman" w:hAnsi="Bookman Old Style"/>
          <w:sz w:val="24"/>
          <w:szCs w:val="24"/>
        </w:rPr>
        <w:t xml:space="preserve"> Atos de designação do gestor e do fiscal do contrato;</w:t>
      </w:r>
    </w:p>
    <w:p w14:paraId="50F2D465"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r w:rsidRPr="009A06AE">
        <w:rPr>
          <w:rFonts w:ascii="Bookman Old Style" w:eastAsia="Times New Roman" w:hAnsi="Bookman Old Style"/>
          <w:b/>
          <w:bCs/>
          <w:sz w:val="24"/>
          <w:szCs w:val="24"/>
        </w:rPr>
        <w:t>j)</w:t>
      </w:r>
      <w:r w:rsidRPr="009A06AE">
        <w:rPr>
          <w:rFonts w:ascii="Bookman Old Style" w:eastAsia="Times New Roman" w:hAnsi="Bookman Old Style"/>
          <w:sz w:val="24"/>
          <w:szCs w:val="24"/>
        </w:rPr>
        <w:t xml:space="preserve"> Medições, atestos de recebimento, notas fiscais, comprovantes de pagamento e demais documentos da execução contratual.</w:t>
      </w:r>
    </w:p>
    <w:p w14:paraId="0ECAFA2A" w14:textId="77777777" w:rsidR="009A06AE" w:rsidRPr="009A06AE" w:rsidRDefault="009A06AE" w:rsidP="009A06AE">
      <w:pPr>
        <w:spacing w:before="480" w:after="480" w:line="360" w:lineRule="auto"/>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 xml:space="preserve">LOCAL E DATA: Orindiúva/SP, </w:t>
      </w:r>
      <w:r w:rsidRPr="009A06AE">
        <w:rPr>
          <w:rFonts w:ascii="Bookman Old Style" w:eastAsia="Times New Roman" w:hAnsi="Bookman Old Style"/>
          <w:b/>
          <w:bCs/>
          <w:sz w:val="24"/>
          <w:szCs w:val="24"/>
          <w:highlight w:val="yellow"/>
        </w:rPr>
        <w:t>[dia]</w:t>
      </w:r>
      <w:r w:rsidRPr="009A06AE">
        <w:rPr>
          <w:rFonts w:ascii="Bookman Old Style" w:eastAsia="Times New Roman" w:hAnsi="Bookman Old Style"/>
          <w:b/>
          <w:bCs/>
          <w:sz w:val="24"/>
          <w:szCs w:val="24"/>
        </w:rPr>
        <w:t xml:space="preserve"> de </w:t>
      </w:r>
      <w:r w:rsidRPr="009A06AE">
        <w:rPr>
          <w:rFonts w:ascii="Bookman Old Style" w:eastAsia="Times New Roman" w:hAnsi="Bookman Old Style"/>
          <w:b/>
          <w:bCs/>
          <w:sz w:val="24"/>
          <w:szCs w:val="24"/>
          <w:highlight w:val="yellow"/>
        </w:rPr>
        <w:t>[mês]</w:t>
      </w:r>
      <w:r w:rsidRPr="009A06AE">
        <w:rPr>
          <w:rFonts w:ascii="Bookman Old Style" w:eastAsia="Times New Roman" w:hAnsi="Bookman Old Style"/>
          <w:b/>
          <w:bCs/>
          <w:sz w:val="24"/>
          <w:szCs w:val="24"/>
        </w:rPr>
        <w:t xml:space="preserve"> de </w:t>
      </w:r>
      <w:r w:rsidRPr="009A06AE">
        <w:rPr>
          <w:rFonts w:ascii="Bookman Old Style" w:eastAsia="Times New Roman" w:hAnsi="Bookman Old Style"/>
          <w:b/>
          <w:bCs/>
          <w:sz w:val="24"/>
          <w:szCs w:val="24"/>
          <w:highlight w:val="yellow"/>
        </w:rPr>
        <w:t>[ano]</w:t>
      </w:r>
      <w:r w:rsidRPr="009A06AE">
        <w:rPr>
          <w:rFonts w:ascii="Bookman Old Style" w:eastAsia="Times New Roman" w:hAnsi="Bookman Old Style"/>
          <w:b/>
          <w:bCs/>
          <w:sz w:val="24"/>
          <w:szCs w:val="24"/>
        </w:rPr>
        <w:t>.</w:t>
      </w:r>
    </w:p>
    <w:p w14:paraId="1BEBDE13" w14:textId="77777777" w:rsidR="009A06AE" w:rsidRPr="009A06AE" w:rsidRDefault="009A06AE" w:rsidP="009A06AE">
      <w:pPr>
        <w:spacing w:before="480" w:after="480" w:line="360" w:lineRule="auto"/>
        <w:jc w:val="both"/>
        <w:rPr>
          <w:rFonts w:ascii="Bookman Old Style" w:eastAsia="Times New Roman" w:hAnsi="Bookman Old Style"/>
          <w:b/>
          <w:bCs/>
          <w:sz w:val="24"/>
          <w:szCs w:val="24"/>
        </w:rPr>
      </w:pPr>
      <w:r w:rsidRPr="009A06AE">
        <w:rPr>
          <w:rFonts w:ascii="Bookman Old Style" w:eastAsia="Times New Roman" w:hAnsi="Bookman Old Style"/>
          <w:b/>
          <w:bCs/>
          <w:sz w:val="24"/>
          <w:szCs w:val="24"/>
        </w:rPr>
        <w:t>RESPONSÁVEL:</w:t>
      </w:r>
    </w:p>
    <w:p w14:paraId="42B336F3" w14:textId="77777777" w:rsidR="009A06AE" w:rsidRPr="009A06AE" w:rsidRDefault="009A06AE" w:rsidP="009A06AE">
      <w:pPr>
        <w:spacing w:before="480" w:after="480" w:line="360" w:lineRule="auto"/>
        <w:jc w:val="both"/>
        <w:rPr>
          <w:rFonts w:ascii="Bookman Old Style" w:eastAsia="Times New Roman" w:hAnsi="Bookman Old Style"/>
          <w:sz w:val="24"/>
          <w:szCs w:val="24"/>
        </w:rPr>
      </w:pPr>
    </w:p>
    <w:p w14:paraId="704FDD05" w14:textId="77777777" w:rsidR="009A06AE" w:rsidRPr="009A06AE" w:rsidRDefault="009A06AE" w:rsidP="009A06AE">
      <w:pPr>
        <w:spacing w:before="480" w:after="0" w:line="360" w:lineRule="auto"/>
        <w:jc w:val="center"/>
        <w:rPr>
          <w:rFonts w:ascii="Bookman Old Style" w:eastAsia="Times New Roman" w:hAnsi="Bookman Old Style"/>
          <w:b/>
          <w:bCs/>
          <w:sz w:val="24"/>
          <w:szCs w:val="24"/>
        </w:rPr>
      </w:pPr>
      <w:r w:rsidRPr="009A06AE">
        <w:rPr>
          <w:rFonts w:ascii="Bookman Old Style" w:eastAsia="Times New Roman" w:hAnsi="Bookman Old Style"/>
          <w:b/>
          <w:bCs/>
          <w:sz w:val="24"/>
          <w:szCs w:val="24"/>
        </w:rPr>
        <w:t>___________________________________</w:t>
      </w:r>
    </w:p>
    <w:p w14:paraId="42DEF35D" w14:textId="77777777" w:rsidR="009A06AE" w:rsidRPr="009A06AE" w:rsidRDefault="009A06AE" w:rsidP="009A06AE">
      <w:pPr>
        <w:spacing w:after="0" w:line="360" w:lineRule="auto"/>
        <w:jc w:val="center"/>
        <w:rPr>
          <w:rFonts w:ascii="Bookman Old Style" w:eastAsia="Times New Roman" w:hAnsi="Bookman Old Style"/>
          <w:b/>
          <w:bCs/>
          <w:sz w:val="24"/>
          <w:szCs w:val="24"/>
        </w:rPr>
      </w:pPr>
      <w:r w:rsidRPr="009A06AE">
        <w:rPr>
          <w:rFonts w:ascii="Bookman Old Style" w:eastAsia="Times New Roman" w:hAnsi="Bookman Old Style"/>
          <w:b/>
          <w:bCs/>
          <w:sz w:val="24"/>
          <w:szCs w:val="24"/>
          <w:highlight w:val="yellow"/>
        </w:rPr>
        <w:t>[AUTORIDADE COMPETENTE]</w:t>
      </w:r>
    </w:p>
    <w:p w14:paraId="7E2B1C03" w14:textId="77777777" w:rsidR="009A06AE" w:rsidRPr="009A06AE" w:rsidRDefault="009A06AE" w:rsidP="009A06AE">
      <w:pPr>
        <w:spacing w:after="480" w:line="360" w:lineRule="auto"/>
        <w:jc w:val="center"/>
        <w:rPr>
          <w:rFonts w:ascii="Bookman Old Style" w:eastAsia="Times New Roman" w:hAnsi="Bookman Old Style"/>
          <w:b/>
          <w:bCs/>
          <w:sz w:val="24"/>
          <w:szCs w:val="24"/>
        </w:rPr>
      </w:pPr>
      <w:r w:rsidRPr="009A06AE">
        <w:rPr>
          <w:rFonts w:ascii="Bookman Old Style" w:eastAsia="Times New Roman" w:hAnsi="Bookman Old Style"/>
          <w:b/>
          <w:bCs/>
          <w:sz w:val="24"/>
          <w:szCs w:val="24"/>
          <w:highlight w:val="yellow"/>
        </w:rPr>
        <w:t>[CARGO DA AUTORIDADE COMPETENTE]</w:t>
      </w:r>
    </w:p>
    <w:p w14:paraId="6E0EFA93" w14:textId="77777777" w:rsidR="009A06AE" w:rsidRPr="006259FF" w:rsidRDefault="009A06AE" w:rsidP="006259FF">
      <w:pPr>
        <w:rPr>
          <w:rFonts w:ascii="Bookman Old Style" w:eastAsia="Times New Roman" w:hAnsi="Bookman Old Style" w:cs="Times New Roman"/>
          <w:sz w:val="24"/>
          <w:szCs w:val="24"/>
          <w:highlight w:val="yellow"/>
          <w:lang w:val="pt-PT"/>
        </w:rPr>
      </w:pPr>
    </w:p>
    <w:sectPr w:rsidR="009A06AE" w:rsidRPr="006259FF" w:rsidSect="0097076C">
      <w:headerReference w:type="default" r:id="rId8"/>
      <w:footerReference w:type="default" r:id="rId9"/>
      <w:pgSz w:w="12240" w:h="15840"/>
      <w:pgMar w:top="1417" w:right="1701" w:bottom="1417" w:left="1701" w:header="680" w:footer="680" w:gutter="0"/>
      <w:pgBorders w:offsetFrom="page">
        <w:top w:val="single" w:sz="12" w:space="24" w:color="BFBFBF" w:themeColor="background1" w:themeShade="BF"/>
        <w:left w:val="single" w:sz="12" w:space="24" w:color="BFBFBF" w:themeColor="background1" w:themeShade="BF"/>
        <w:bottom w:val="single" w:sz="12" w:space="24" w:color="BFBFBF" w:themeColor="background1" w:themeShade="BF"/>
        <w:right w:val="single" w:sz="12" w:space="24" w:color="BFBFBF" w:themeColor="background1" w:themeShade="BF"/>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770328" w14:textId="77777777" w:rsidR="00C53986" w:rsidRPr="00DD3FFF" w:rsidRDefault="00C53986" w:rsidP="00651505">
      <w:pPr>
        <w:spacing w:after="0" w:line="240" w:lineRule="auto"/>
      </w:pPr>
      <w:r w:rsidRPr="00DD3FFF">
        <w:separator/>
      </w:r>
    </w:p>
  </w:endnote>
  <w:endnote w:type="continuationSeparator" w:id="0">
    <w:p w14:paraId="08E7E774" w14:textId="77777777" w:rsidR="00C53986" w:rsidRPr="00DD3FFF" w:rsidRDefault="00C53986" w:rsidP="00651505">
      <w:pPr>
        <w:spacing w:after="0" w:line="240" w:lineRule="auto"/>
      </w:pPr>
      <w:r w:rsidRPr="00DD3FF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urier">
    <w:panose1 w:val="02070409020205020404"/>
    <w:charset w:val="00"/>
    <w:family w:val="modern"/>
    <w:pitch w:val="fixed"/>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bCs/>
      </w:rPr>
      <w:id w:val="815762702"/>
      <w:docPartObj>
        <w:docPartGallery w:val="Page Numbers (Bottom of Page)"/>
        <w:docPartUnique/>
      </w:docPartObj>
    </w:sdtPr>
    <w:sdtEndPr/>
    <w:sdtContent>
      <w:sdt>
        <w:sdtPr>
          <w:rPr>
            <w:b/>
            <w:bCs/>
          </w:rPr>
          <w:id w:val="1728636285"/>
          <w:docPartObj>
            <w:docPartGallery w:val="Page Numbers (Top of Page)"/>
            <w:docPartUnique/>
          </w:docPartObj>
        </w:sdtPr>
        <w:sdtEndPr/>
        <w:sdtContent>
          <w:p w14:paraId="18129F0B" w14:textId="7E21B659" w:rsidR="0054651E" w:rsidRPr="00DD3FFF" w:rsidRDefault="001655E1">
            <w:pPr>
              <w:pStyle w:val="Rodap"/>
              <w:jc w:val="center"/>
              <w:rPr>
                <w:b/>
                <w:bCs/>
              </w:rPr>
            </w:pPr>
            <w:r>
              <w:rPr>
                <w:rFonts w:ascii="Bookman Old Style" w:hAnsi="Bookman Old Style"/>
                <w:sz w:val="16"/>
                <w:szCs w:val="16"/>
              </w:rPr>
              <w:t>Termo de Referência</w:t>
            </w:r>
            <w:r w:rsidR="001B5F16">
              <w:rPr>
                <w:rFonts w:ascii="Bookman Old Style" w:hAnsi="Bookman Old Style"/>
                <w:sz w:val="16"/>
                <w:szCs w:val="16"/>
              </w:rPr>
              <w:t xml:space="preserve"> - </w:t>
            </w:r>
            <w:r>
              <w:rPr>
                <w:rFonts w:ascii="Bookman Old Style" w:hAnsi="Bookman Old Style"/>
                <w:sz w:val="16"/>
                <w:szCs w:val="16"/>
              </w:rPr>
              <w:t>P</w:t>
            </w:r>
            <w:r w:rsidR="0054651E" w:rsidRPr="00DD3FFF">
              <w:rPr>
                <w:rFonts w:ascii="Bookman Old Style" w:hAnsi="Bookman Old Style"/>
                <w:sz w:val="16"/>
                <w:szCs w:val="16"/>
              </w:rPr>
              <w:t xml:space="preserve">ágina </w:t>
            </w:r>
            <w:r w:rsidR="0054651E" w:rsidRPr="00DD3FFF">
              <w:rPr>
                <w:rFonts w:ascii="Bookman Old Style" w:hAnsi="Bookman Old Style"/>
                <w:b/>
                <w:bCs/>
                <w:sz w:val="16"/>
                <w:szCs w:val="16"/>
              </w:rPr>
              <w:fldChar w:fldCharType="begin"/>
            </w:r>
            <w:r w:rsidR="0054651E" w:rsidRPr="00DD3FFF">
              <w:rPr>
                <w:rFonts w:ascii="Bookman Old Style" w:hAnsi="Bookman Old Style"/>
                <w:b/>
                <w:bCs/>
                <w:sz w:val="16"/>
                <w:szCs w:val="16"/>
              </w:rPr>
              <w:instrText>PAGE</w:instrText>
            </w:r>
            <w:r w:rsidR="0054651E" w:rsidRPr="00DD3FFF">
              <w:rPr>
                <w:rFonts w:ascii="Bookman Old Style" w:hAnsi="Bookman Old Style"/>
                <w:b/>
                <w:bCs/>
                <w:sz w:val="16"/>
                <w:szCs w:val="16"/>
              </w:rPr>
              <w:fldChar w:fldCharType="separate"/>
            </w:r>
            <w:r w:rsidR="0054651E" w:rsidRPr="00DD3FFF">
              <w:rPr>
                <w:rFonts w:ascii="Bookman Old Style" w:hAnsi="Bookman Old Style"/>
                <w:b/>
                <w:bCs/>
                <w:sz w:val="16"/>
                <w:szCs w:val="16"/>
              </w:rPr>
              <w:t>2</w:t>
            </w:r>
            <w:r w:rsidR="0054651E" w:rsidRPr="00DD3FFF">
              <w:rPr>
                <w:rFonts w:ascii="Bookman Old Style" w:hAnsi="Bookman Old Style"/>
                <w:b/>
                <w:bCs/>
                <w:sz w:val="16"/>
                <w:szCs w:val="16"/>
              </w:rPr>
              <w:fldChar w:fldCharType="end"/>
            </w:r>
            <w:r w:rsidR="0054651E" w:rsidRPr="00DD3FFF">
              <w:rPr>
                <w:rFonts w:ascii="Bookman Old Style" w:hAnsi="Bookman Old Style"/>
                <w:sz w:val="16"/>
                <w:szCs w:val="16"/>
              </w:rPr>
              <w:t xml:space="preserve"> de </w:t>
            </w:r>
            <w:r w:rsidR="0054651E" w:rsidRPr="00DD3FFF">
              <w:rPr>
                <w:rFonts w:ascii="Bookman Old Style" w:hAnsi="Bookman Old Style"/>
                <w:b/>
                <w:bCs/>
                <w:sz w:val="16"/>
                <w:szCs w:val="16"/>
              </w:rPr>
              <w:fldChar w:fldCharType="begin"/>
            </w:r>
            <w:r w:rsidR="0054651E" w:rsidRPr="00DD3FFF">
              <w:rPr>
                <w:rFonts w:ascii="Bookman Old Style" w:hAnsi="Bookman Old Style"/>
                <w:b/>
                <w:bCs/>
                <w:sz w:val="16"/>
                <w:szCs w:val="16"/>
              </w:rPr>
              <w:instrText>NUMPAGES</w:instrText>
            </w:r>
            <w:r w:rsidR="0054651E" w:rsidRPr="00DD3FFF">
              <w:rPr>
                <w:rFonts w:ascii="Bookman Old Style" w:hAnsi="Bookman Old Style"/>
                <w:b/>
                <w:bCs/>
                <w:sz w:val="16"/>
                <w:szCs w:val="16"/>
              </w:rPr>
              <w:fldChar w:fldCharType="separate"/>
            </w:r>
            <w:r w:rsidR="0054651E" w:rsidRPr="00DD3FFF">
              <w:rPr>
                <w:rFonts w:ascii="Bookman Old Style" w:hAnsi="Bookman Old Style"/>
                <w:b/>
                <w:bCs/>
                <w:sz w:val="16"/>
                <w:szCs w:val="16"/>
              </w:rPr>
              <w:t>2</w:t>
            </w:r>
            <w:r w:rsidR="0054651E" w:rsidRPr="00DD3FFF">
              <w:rPr>
                <w:rFonts w:ascii="Bookman Old Style" w:hAnsi="Bookman Old Style"/>
                <w:b/>
                <w:bCs/>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187A3C" w14:textId="77777777" w:rsidR="00C53986" w:rsidRPr="00DD3FFF" w:rsidRDefault="00C53986" w:rsidP="00651505">
      <w:pPr>
        <w:spacing w:after="0" w:line="240" w:lineRule="auto"/>
      </w:pPr>
      <w:r w:rsidRPr="00DD3FFF">
        <w:separator/>
      </w:r>
    </w:p>
  </w:footnote>
  <w:footnote w:type="continuationSeparator" w:id="0">
    <w:p w14:paraId="52CDE587" w14:textId="77777777" w:rsidR="00C53986" w:rsidRPr="00DD3FFF" w:rsidRDefault="00C53986" w:rsidP="00651505">
      <w:pPr>
        <w:spacing w:after="0" w:line="240" w:lineRule="auto"/>
      </w:pPr>
      <w:r w:rsidRPr="00DD3FF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6196A" w14:textId="77777777" w:rsidR="00E7694A" w:rsidRPr="00E7694A" w:rsidRDefault="00E7694A" w:rsidP="00E7694A">
    <w:pPr>
      <w:tabs>
        <w:tab w:val="left" w:pos="2850"/>
        <w:tab w:val="center" w:pos="4252"/>
        <w:tab w:val="center" w:pos="4819"/>
        <w:tab w:val="right" w:pos="8504"/>
      </w:tabs>
      <w:spacing w:after="0" w:line="240" w:lineRule="auto"/>
      <w:jc w:val="center"/>
      <w:rPr>
        <w:rFonts w:ascii="Bookman Old Style" w:eastAsia="Times New Roman" w:hAnsi="Bookman Old Style" w:cs="Times New Roman"/>
        <w:b/>
        <w:sz w:val="20"/>
        <w:szCs w:val="20"/>
        <w:lang w:eastAsia="pt-BR"/>
      </w:rPr>
    </w:pPr>
    <w:r w:rsidRPr="00E7694A">
      <w:rPr>
        <w:rFonts w:ascii="Bookman Old Style" w:eastAsia="Times New Roman" w:hAnsi="Bookman Old Style" w:cs="Times New Roman"/>
        <w:noProof/>
        <w:sz w:val="20"/>
        <w:szCs w:val="20"/>
        <w:lang w:eastAsia="pt-BR"/>
      </w:rPr>
      <w:drawing>
        <wp:anchor distT="0" distB="0" distL="114300" distR="114300" simplePos="0" relativeHeight="251659264" behindDoc="0" locked="0" layoutInCell="1" allowOverlap="1" wp14:anchorId="49792B5B" wp14:editId="4881214B">
          <wp:simplePos x="0" y="0"/>
          <wp:positionH relativeFrom="margin">
            <wp:posOffset>2240280</wp:posOffset>
          </wp:positionH>
          <wp:positionV relativeFrom="paragraph">
            <wp:posOffset>-57770</wp:posOffset>
          </wp:positionV>
          <wp:extent cx="1130311" cy="1108364"/>
          <wp:effectExtent l="0" t="0" r="0" b="0"/>
          <wp:wrapNone/>
          <wp:docPr id="129778775" name="Imagem 129778775"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0311" cy="11083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59CB0D" w14:textId="77777777" w:rsidR="00E7694A" w:rsidRPr="00E7694A" w:rsidRDefault="00E7694A" w:rsidP="00E7694A">
    <w:pPr>
      <w:tabs>
        <w:tab w:val="left" w:pos="2850"/>
        <w:tab w:val="center" w:pos="4252"/>
        <w:tab w:val="center" w:pos="4819"/>
        <w:tab w:val="right" w:pos="8504"/>
      </w:tabs>
      <w:spacing w:after="0" w:line="240" w:lineRule="auto"/>
      <w:jc w:val="center"/>
      <w:rPr>
        <w:rFonts w:ascii="Bookman Old Style" w:eastAsia="Times New Roman" w:hAnsi="Bookman Old Style" w:cs="Times New Roman"/>
        <w:b/>
        <w:sz w:val="20"/>
        <w:szCs w:val="20"/>
        <w:lang w:eastAsia="pt-BR"/>
      </w:rPr>
    </w:pPr>
  </w:p>
  <w:p w14:paraId="78CF9FDD" w14:textId="77777777" w:rsidR="00E7694A" w:rsidRPr="00E7694A" w:rsidRDefault="00E7694A" w:rsidP="00E7694A">
    <w:pPr>
      <w:tabs>
        <w:tab w:val="left" w:pos="2850"/>
        <w:tab w:val="center" w:pos="4252"/>
        <w:tab w:val="center" w:pos="4819"/>
        <w:tab w:val="right" w:pos="8504"/>
      </w:tabs>
      <w:spacing w:after="0" w:line="240" w:lineRule="auto"/>
      <w:jc w:val="center"/>
      <w:rPr>
        <w:rFonts w:ascii="Bookman Old Style" w:eastAsia="Times New Roman" w:hAnsi="Bookman Old Style" w:cs="Times New Roman"/>
        <w:b/>
        <w:sz w:val="20"/>
        <w:szCs w:val="20"/>
        <w:lang w:eastAsia="pt-BR"/>
      </w:rPr>
    </w:pPr>
  </w:p>
  <w:p w14:paraId="5034E216" w14:textId="77777777" w:rsidR="00E7694A" w:rsidRPr="00E7694A" w:rsidRDefault="00E7694A" w:rsidP="00E7694A">
    <w:pPr>
      <w:tabs>
        <w:tab w:val="left" w:pos="2850"/>
        <w:tab w:val="center" w:pos="4252"/>
        <w:tab w:val="center" w:pos="4819"/>
        <w:tab w:val="right" w:pos="8504"/>
      </w:tabs>
      <w:spacing w:after="0" w:line="240" w:lineRule="auto"/>
      <w:jc w:val="center"/>
      <w:rPr>
        <w:rFonts w:ascii="Bookman Old Style" w:eastAsia="Times New Roman" w:hAnsi="Bookman Old Style" w:cs="Times New Roman"/>
        <w:b/>
        <w:sz w:val="20"/>
        <w:szCs w:val="20"/>
        <w:lang w:eastAsia="pt-BR"/>
      </w:rPr>
    </w:pPr>
  </w:p>
  <w:p w14:paraId="17D24920" w14:textId="77777777" w:rsidR="00E7694A" w:rsidRPr="00E7694A" w:rsidRDefault="00E7694A" w:rsidP="00E7694A">
    <w:pPr>
      <w:tabs>
        <w:tab w:val="left" w:pos="2850"/>
        <w:tab w:val="center" w:pos="4252"/>
        <w:tab w:val="center" w:pos="4819"/>
        <w:tab w:val="right" w:pos="8504"/>
      </w:tabs>
      <w:spacing w:after="0" w:line="240" w:lineRule="auto"/>
      <w:jc w:val="center"/>
      <w:rPr>
        <w:rFonts w:ascii="Bookman Old Style" w:eastAsia="Times New Roman" w:hAnsi="Bookman Old Style" w:cs="Times New Roman"/>
        <w:b/>
        <w:sz w:val="20"/>
        <w:szCs w:val="20"/>
        <w:lang w:eastAsia="pt-BR"/>
      </w:rPr>
    </w:pPr>
  </w:p>
  <w:p w14:paraId="794C1003" w14:textId="77777777" w:rsidR="00E7694A" w:rsidRPr="00E7694A" w:rsidRDefault="00E7694A" w:rsidP="00E7694A">
    <w:pPr>
      <w:tabs>
        <w:tab w:val="left" w:pos="2850"/>
        <w:tab w:val="center" w:pos="4252"/>
        <w:tab w:val="center" w:pos="4819"/>
        <w:tab w:val="right" w:pos="8504"/>
      </w:tabs>
      <w:spacing w:after="0"/>
      <w:jc w:val="center"/>
      <w:rPr>
        <w:rFonts w:ascii="Bookman Old Style" w:eastAsia="Times New Roman" w:hAnsi="Bookman Old Style" w:cs="Times New Roman"/>
        <w:b/>
        <w:sz w:val="20"/>
        <w:szCs w:val="20"/>
        <w:lang w:eastAsia="pt-BR"/>
      </w:rPr>
    </w:pPr>
  </w:p>
  <w:p w14:paraId="760F368D" w14:textId="77777777" w:rsidR="00E7694A" w:rsidRPr="00E7694A" w:rsidRDefault="00E7694A" w:rsidP="00E7694A">
    <w:pPr>
      <w:tabs>
        <w:tab w:val="left" w:pos="2850"/>
        <w:tab w:val="center" w:pos="4252"/>
        <w:tab w:val="center" w:pos="4819"/>
        <w:tab w:val="right" w:pos="8504"/>
      </w:tabs>
      <w:spacing w:before="240" w:after="0" w:line="240" w:lineRule="auto"/>
      <w:jc w:val="center"/>
      <w:rPr>
        <w:rFonts w:ascii="Bookman Old Style" w:eastAsia="Times New Roman" w:hAnsi="Bookman Old Style" w:cs="Times New Roman"/>
        <w:b/>
        <w:sz w:val="20"/>
        <w:szCs w:val="20"/>
        <w:lang w:eastAsia="pt-BR"/>
      </w:rPr>
    </w:pPr>
    <w:r w:rsidRPr="00E7694A">
      <w:rPr>
        <w:rFonts w:ascii="Bookman Old Style" w:eastAsia="Times New Roman" w:hAnsi="Bookman Old Style" w:cs="Times New Roman"/>
        <w:b/>
        <w:sz w:val="28"/>
        <w:szCs w:val="28"/>
        <w:lang w:eastAsia="pt-BR"/>
      </w:rPr>
      <w:t>PREFEITURA DO MUNICÍPIO DE ORINDIÚVA</w:t>
    </w:r>
  </w:p>
  <w:p w14:paraId="40ACBBFB" w14:textId="77777777" w:rsidR="00E7694A" w:rsidRPr="00E7694A" w:rsidRDefault="00E7694A" w:rsidP="00E7694A">
    <w:pPr>
      <w:tabs>
        <w:tab w:val="left" w:pos="2715"/>
        <w:tab w:val="center" w:pos="4252"/>
        <w:tab w:val="center" w:pos="4819"/>
        <w:tab w:val="right" w:pos="8504"/>
      </w:tabs>
      <w:spacing w:after="0" w:line="240" w:lineRule="auto"/>
      <w:jc w:val="center"/>
      <w:rPr>
        <w:rFonts w:ascii="Bookman Old Style" w:eastAsia="Times New Roman" w:hAnsi="Bookman Old Style" w:cs="Times New Roman"/>
        <w:sz w:val="20"/>
        <w:szCs w:val="20"/>
        <w:lang w:eastAsia="pt-BR"/>
      </w:rPr>
    </w:pPr>
    <w:r w:rsidRPr="00E7694A">
      <w:rPr>
        <w:rFonts w:ascii="Bookman Old Style" w:eastAsia="Times New Roman" w:hAnsi="Bookman Old Style" w:cs="Times New Roman"/>
        <w:sz w:val="20"/>
        <w:szCs w:val="20"/>
        <w:lang w:eastAsia="pt-BR"/>
      </w:rPr>
      <w:t>PRAÇA MARIA DIAS, 614 – CENTRO – CEP: 15.480-007 – ORINDIÚVA/SP</w:t>
    </w:r>
  </w:p>
  <w:p w14:paraId="3DB4504B" w14:textId="77777777" w:rsidR="00E7694A" w:rsidRPr="00E7694A" w:rsidRDefault="00E7694A" w:rsidP="001655E1">
    <w:pPr>
      <w:pBdr>
        <w:bottom w:val="single" w:sz="12" w:space="1" w:color="auto"/>
      </w:pBdr>
      <w:tabs>
        <w:tab w:val="left" w:pos="2715"/>
        <w:tab w:val="center" w:pos="4252"/>
        <w:tab w:val="center" w:pos="4819"/>
        <w:tab w:val="right" w:pos="8504"/>
      </w:tabs>
      <w:spacing w:after="480" w:line="360" w:lineRule="auto"/>
      <w:jc w:val="center"/>
      <w:rPr>
        <w:rFonts w:ascii="Arial" w:eastAsia="Arial" w:hAnsi="Arial" w:cs="Times New Roman"/>
      </w:rPr>
    </w:pPr>
    <w:r w:rsidRPr="00E7694A">
      <w:rPr>
        <w:rFonts w:ascii="Bookman Old Style" w:eastAsia="Times New Roman" w:hAnsi="Bookman Old Style" w:cs="Times New Roman"/>
        <w:sz w:val="20"/>
        <w:szCs w:val="20"/>
        <w:lang w:eastAsia="pt-BR"/>
      </w:rPr>
      <w:t xml:space="preserve">CNPJ: 45.148.970/0001-77 – FONE: (17) 3816-9600 – </w:t>
    </w:r>
    <w:hyperlink r:id="rId2" w:history="1">
      <w:r w:rsidRPr="00E7694A">
        <w:rPr>
          <w:rFonts w:ascii="Bookman Old Style" w:eastAsia="Times New Roman" w:hAnsi="Bookman Old Style" w:cs="Times New Roman"/>
          <w:i/>
          <w:iCs/>
          <w:color w:val="000080"/>
          <w:sz w:val="20"/>
          <w:szCs w:val="20"/>
          <w:lang w:eastAsia="pt-BR"/>
        </w:rPr>
        <w:t>www.orindiuva.sp.gov.br</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Numerada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Numerada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Commarcadore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Commarcadore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Numerad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Commarcadores"/>
      <w:lvlText w:val=""/>
      <w:lvlJc w:val="left"/>
      <w:pPr>
        <w:tabs>
          <w:tab w:val="num" w:pos="360"/>
        </w:tabs>
        <w:ind w:left="360" w:hanging="360"/>
      </w:pPr>
      <w:rPr>
        <w:rFonts w:ascii="Symbol" w:hAnsi="Symbol" w:hint="default"/>
      </w:rPr>
    </w:lvl>
  </w:abstractNum>
  <w:abstractNum w:abstractNumId="9" w15:restartNumberingAfterBreak="0">
    <w:nsid w:val="28852934"/>
    <w:multiLevelType w:val="hybridMultilevel"/>
    <w:tmpl w:val="7C3C92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5D931FBB"/>
    <w:multiLevelType w:val="multilevel"/>
    <w:tmpl w:val="19F06A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1820926">
    <w:abstractNumId w:val="8"/>
  </w:num>
  <w:num w:numId="2" w16cid:durableId="1540169949">
    <w:abstractNumId w:val="6"/>
  </w:num>
  <w:num w:numId="3" w16cid:durableId="1146704540">
    <w:abstractNumId w:val="5"/>
  </w:num>
  <w:num w:numId="4" w16cid:durableId="1545290548">
    <w:abstractNumId w:val="4"/>
  </w:num>
  <w:num w:numId="5" w16cid:durableId="885607115">
    <w:abstractNumId w:val="7"/>
  </w:num>
  <w:num w:numId="6" w16cid:durableId="10255619">
    <w:abstractNumId w:val="3"/>
  </w:num>
  <w:num w:numId="7" w16cid:durableId="1491023112">
    <w:abstractNumId w:val="2"/>
  </w:num>
  <w:num w:numId="8" w16cid:durableId="887377606">
    <w:abstractNumId w:val="1"/>
  </w:num>
  <w:num w:numId="9" w16cid:durableId="2013801048">
    <w:abstractNumId w:val="0"/>
  </w:num>
  <w:num w:numId="10" w16cid:durableId="825977715">
    <w:abstractNumId w:val="10"/>
  </w:num>
  <w:num w:numId="11" w16cid:durableId="159878190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0D47"/>
    <w:rsid w:val="00003338"/>
    <w:rsid w:val="0003079F"/>
    <w:rsid w:val="00034616"/>
    <w:rsid w:val="00041D96"/>
    <w:rsid w:val="00041FEA"/>
    <w:rsid w:val="000443F6"/>
    <w:rsid w:val="00045C52"/>
    <w:rsid w:val="00045F97"/>
    <w:rsid w:val="000512AD"/>
    <w:rsid w:val="00051C72"/>
    <w:rsid w:val="0006063C"/>
    <w:rsid w:val="00070BBB"/>
    <w:rsid w:val="0009091A"/>
    <w:rsid w:val="000937F3"/>
    <w:rsid w:val="000C0E95"/>
    <w:rsid w:val="000C3A36"/>
    <w:rsid w:val="000D4818"/>
    <w:rsid w:val="000D7A02"/>
    <w:rsid w:val="000E2532"/>
    <w:rsid w:val="000E326B"/>
    <w:rsid w:val="000F2BBD"/>
    <w:rsid w:val="000F7D10"/>
    <w:rsid w:val="00125166"/>
    <w:rsid w:val="00131E5A"/>
    <w:rsid w:val="00134E93"/>
    <w:rsid w:val="00137F89"/>
    <w:rsid w:val="00144C1E"/>
    <w:rsid w:val="001456C8"/>
    <w:rsid w:val="0015074B"/>
    <w:rsid w:val="00153373"/>
    <w:rsid w:val="001540B2"/>
    <w:rsid w:val="0015580D"/>
    <w:rsid w:val="001655E1"/>
    <w:rsid w:val="00167FB0"/>
    <w:rsid w:val="00172562"/>
    <w:rsid w:val="00181390"/>
    <w:rsid w:val="00182627"/>
    <w:rsid w:val="001834F7"/>
    <w:rsid w:val="001868BF"/>
    <w:rsid w:val="001A07BB"/>
    <w:rsid w:val="001A1C2A"/>
    <w:rsid w:val="001B23DA"/>
    <w:rsid w:val="001B5F16"/>
    <w:rsid w:val="001C3628"/>
    <w:rsid w:val="001C3E70"/>
    <w:rsid w:val="001C5F35"/>
    <w:rsid w:val="001C64E9"/>
    <w:rsid w:val="001C6A03"/>
    <w:rsid w:val="001F4577"/>
    <w:rsid w:val="001F5FA7"/>
    <w:rsid w:val="00201976"/>
    <w:rsid w:val="0021544D"/>
    <w:rsid w:val="002176A6"/>
    <w:rsid w:val="0022100A"/>
    <w:rsid w:val="002279BF"/>
    <w:rsid w:val="00232982"/>
    <w:rsid w:val="00236A9A"/>
    <w:rsid w:val="002557FF"/>
    <w:rsid w:val="0026231F"/>
    <w:rsid w:val="002656BE"/>
    <w:rsid w:val="00266474"/>
    <w:rsid w:val="00267ABC"/>
    <w:rsid w:val="0028121C"/>
    <w:rsid w:val="0029639D"/>
    <w:rsid w:val="002A54A4"/>
    <w:rsid w:val="002B093F"/>
    <w:rsid w:val="002B38FC"/>
    <w:rsid w:val="002B7560"/>
    <w:rsid w:val="002C69C7"/>
    <w:rsid w:val="002D6683"/>
    <w:rsid w:val="002E6504"/>
    <w:rsid w:val="002F5D14"/>
    <w:rsid w:val="0030040E"/>
    <w:rsid w:val="003110F3"/>
    <w:rsid w:val="00321222"/>
    <w:rsid w:val="00324EFB"/>
    <w:rsid w:val="00326F90"/>
    <w:rsid w:val="0034531B"/>
    <w:rsid w:val="003527C5"/>
    <w:rsid w:val="003545A8"/>
    <w:rsid w:val="00361134"/>
    <w:rsid w:val="003668A5"/>
    <w:rsid w:val="003753C4"/>
    <w:rsid w:val="00376237"/>
    <w:rsid w:val="003871F2"/>
    <w:rsid w:val="00394616"/>
    <w:rsid w:val="003A2F3B"/>
    <w:rsid w:val="003A46B1"/>
    <w:rsid w:val="003C7A2A"/>
    <w:rsid w:val="003D2060"/>
    <w:rsid w:val="003D6608"/>
    <w:rsid w:val="003E06C8"/>
    <w:rsid w:val="003E31E4"/>
    <w:rsid w:val="003E3FD2"/>
    <w:rsid w:val="00401FAB"/>
    <w:rsid w:val="004026BE"/>
    <w:rsid w:val="00413BAF"/>
    <w:rsid w:val="0041456F"/>
    <w:rsid w:val="00416050"/>
    <w:rsid w:val="004204C8"/>
    <w:rsid w:val="00426002"/>
    <w:rsid w:val="00426B56"/>
    <w:rsid w:val="004279AF"/>
    <w:rsid w:val="00436CAF"/>
    <w:rsid w:val="00443B88"/>
    <w:rsid w:val="00444809"/>
    <w:rsid w:val="0044506A"/>
    <w:rsid w:val="00446615"/>
    <w:rsid w:val="00446999"/>
    <w:rsid w:val="00455E6E"/>
    <w:rsid w:val="00467805"/>
    <w:rsid w:val="00477DFC"/>
    <w:rsid w:val="00487F26"/>
    <w:rsid w:val="004902EE"/>
    <w:rsid w:val="00491ED1"/>
    <w:rsid w:val="004926F9"/>
    <w:rsid w:val="00493598"/>
    <w:rsid w:val="0049418C"/>
    <w:rsid w:val="004A0AD3"/>
    <w:rsid w:val="004A132B"/>
    <w:rsid w:val="004A4124"/>
    <w:rsid w:val="004B2004"/>
    <w:rsid w:val="004C2E64"/>
    <w:rsid w:val="004C4A1F"/>
    <w:rsid w:val="004C5091"/>
    <w:rsid w:val="004C602C"/>
    <w:rsid w:val="004E3A84"/>
    <w:rsid w:val="004F3C2E"/>
    <w:rsid w:val="005012D3"/>
    <w:rsid w:val="0051116D"/>
    <w:rsid w:val="005203F6"/>
    <w:rsid w:val="00535E9D"/>
    <w:rsid w:val="005364C4"/>
    <w:rsid w:val="0053677E"/>
    <w:rsid w:val="00545E84"/>
    <w:rsid w:val="0054651E"/>
    <w:rsid w:val="00547C45"/>
    <w:rsid w:val="00550808"/>
    <w:rsid w:val="00552B82"/>
    <w:rsid w:val="00554655"/>
    <w:rsid w:val="0055506D"/>
    <w:rsid w:val="00555BC2"/>
    <w:rsid w:val="00561565"/>
    <w:rsid w:val="005707CF"/>
    <w:rsid w:val="00575B24"/>
    <w:rsid w:val="005762C2"/>
    <w:rsid w:val="00580BCF"/>
    <w:rsid w:val="00586F0E"/>
    <w:rsid w:val="005879E5"/>
    <w:rsid w:val="005911DC"/>
    <w:rsid w:val="00594A92"/>
    <w:rsid w:val="00596A01"/>
    <w:rsid w:val="005A4F20"/>
    <w:rsid w:val="005B229B"/>
    <w:rsid w:val="005B29C4"/>
    <w:rsid w:val="005C696E"/>
    <w:rsid w:val="005E602F"/>
    <w:rsid w:val="005F3F94"/>
    <w:rsid w:val="00604981"/>
    <w:rsid w:val="006062DB"/>
    <w:rsid w:val="00606B60"/>
    <w:rsid w:val="00606EF1"/>
    <w:rsid w:val="00615187"/>
    <w:rsid w:val="0061637B"/>
    <w:rsid w:val="006177CD"/>
    <w:rsid w:val="00620DE0"/>
    <w:rsid w:val="00621A1A"/>
    <w:rsid w:val="006259FF"/>
    <w:rsid w:val="00635876"/>
    <w:rsid w:val="006402C9"/>
    <w:rsid w:val="006441FA"/>
    <w:rsid w:val="006443F8"/>
    <w:rsid w:val="006502CA"/>
    <w:rsid w:val="00651505"/>
    <w:rsid w:val="00655343"/>
    <w:rsid w:val="00655950"/>
    <w:rsid w:val="00660612"/>
    <w:rsid w:val="00661379"/>
    <w:rsid w:val="00662CBC"/>
    <w:rsid w:val="006647E3"/>
    <w:rsid w:val="006705A2"/>
    <w:rsid w:val="00670DF2"/>
    <w:rsid w:val="00685D70"/>
    <w:rsid w:val="006A0AD8"/>
    <w:rsid w:val="006A43B3"/>
    <w:rsid w:val="006A4CB2"/>
    <w:rsid w:val="006B1B19"/>
    <w:rsid w:val="006B1EEA"/>
    <w:rsid w:val="006B5D51"/>
    <w:rsid w:val="006C37B1"/>
    <w:rsid w:val="006C5310"/>
    <w:rsid w:val="006C77D9"/>
    <w:rsid w:val="006D0222"/>
    <w:rsid w:val="006D7BD4"/>
    <w:rsid w:val="006E1ABF"/>
    <w:rsid w:val="006E53A0"/>
    <w:rsid w:val="006F12FA"/>
    <w:rsid w:val="006F61C9"/>
    <w:rsid w:val="007015BD"/>
    <w:rsid w:val="007167A0"/>
    <w:rsid w:val="00731A30"/>
    <w:rsid w:val="00733608"/>
    <w:rsid w:val="00734E45"/>
    <w:rsid w:val="00737964"/>
    <w:rsid w:val="007471D8"/>
    <w:rsid w:val="0074727E"/>
    <w:rsid w:val="007717AC"/>
    <w:rsid w:val="007725E5"/>
    <w:rsid w:val="007729C7"/>
    <w:rsid w:val="00780ADF"/>
    <w:rsid w:val="00782436"/>
    <w:rsid w:val="007846E0"/>
    <w:rsid w:val="0079105F"/>
    <w:rsid w:val="00791E93"/>
    <w:rsid w:val="007A2D9E"/>
    <w:rsid w:val="007A403B"/>
    <w:rsid w:val="007A4D85"/>
    <w:rsid w:val="007A72F4"/>
    <w:rsid w:val="007C2C35"/>
    <w:rsid w:val="007C395F"/>
    <w:rsid w:val="007D3F2C"/>
    <w:rsid w:val="008002E0"/>
    <w:rsid w:val="008014B3"/>
    <w:rsid w:val="008024CA"/>
    <w:rsid w:val="008229B9"/>
    <w:rsid w:val="00823F96"/>
    <w:rsid w:val="008351D1"/>
    <w:rsid w:val="00835903"/>
    <w:rsid w:val="0085349E"/>
    <w:rsid w:val="008639B3"/>
    <w:rsid w:val="00865B02"/>
    <w:rsid w:val="0086715F"/>
    <w:rsid w:val="00870E5A"/>
    <w:rsid w:val="008720B9"/>
    <w:rsid w:val="00874037"/>
    <w:rsid w:val="00884BEA"/>
    <w:rsid w:val="00885B55"/>
    <w:rsid w:val="00890388"/>
    <w:rsid w:val="00892150"/>
    <w:rsid w:val="00892EDA"/>
    <w:rsid w:val="008A1A78"/>
    <w:rsid w:val="008A50E6"/>
    <w:rsid w:val="008A646C"/>
    <w:rsid w:val="008B529C"/>
    <w:rsid w:val="008B5E0B"/>
    <w:rsid w:val="008C063F"/>
    <w:rsid w:val="008C0B29"/>
    <w:rsid w:val="008C20EC"/>
    <w:rsid w:val="008C40C8"/>
    <w:rsid w:val="008D14EA"/>
    <w:rsid w:val="008D4124"/>
    <w:rsid w:val="008E5B27"/>
    <w:rsid w:val="008F00FA"/>
    <w:rsid w:val="00914A1E"/>
    <w:rsid w:val="0092122E"/>
    <w:rsid w:val="0092312E"/>
    <w:rsid w:val="0092472E"/>
    <w:rsid w:val="00927DDC"/>
    <w:rsid w:val="0093138A"/>
    <w:rsid w:val="00940BFD"/>
    <w:rsid w:val="00940F7E"/>
    <w:rsid w:val="00941AFF"/>
    <w:rsid w:val="00943E88"/>
    <w:rsid w:val="00955411"/>
    <w:rsid w:val="009558E5"/>
    <w:rsid w:val="00956A4B"/>
    <w:rsid w:val="009615AD"/>
    <w:rsid w:val="00966246"/>
    <w:rsid w:val="0096780F"/>
    <w:rsid w:val="0097076C"/>
    <w:rsid w:val="0097466E"/>
    <w:rsid w:val="00983625"/>
    <w:rsid w:val="009840CC"/>
    <w:rsid w:val="00986D73"/>
    <w:rsid w:val="00991768"/>
    <w:rsid w:val="0099545F"/>
    <w:rsid w:val="009A06AE"/>
    <w:rsid w:val="009A385D"/>
    <w:rsid w:val="009B0698"/>
    <w:rsid w:val="009B4F77"/>
    <w:rsid w:val="009C0F70"/>
    <w:rsid w:val="009C37CF"/>
    <w:rsid w:val="009C52CB"/>
    <w:rsid w:val="009C7054"/>
    <w:rsid w:val="009F25B3"/>
    <w:rsid w:val="009F2E93"/>
    <w:rsid w:val="00A02AA3"/>
    <w:rsid w:val="00A144F0"/>
    <w:rsid w:val="00A25374"/>
    <w:rsid w:val="00A262D7"/>
    <w:rsid w:val="00A30B51"/>
    <w:rsid w:val="00A30E75"/>
    <w:rsid w:val="00A46664"/>
    <w:rsid w:val="00A55E28"/>
    <w:rsid w:val="00A733EE"/>
    <w:rsid w:val="00A76BB1"/>
    <w:rsid w:val="00A824ED"/>
    <w:rsid w:val="00A87358"/>
    <w:rsid w:val="00AA1D8D"/>
    <w:rsid w:val="00AA2D0A"/>
    <w:rsid w:val="00AA2FA2"/>
    <w:rsid w:val="00AA68A6"/>
    <w:rsid w:val="00AA6BC9"/>
    <w:rsid w:val="00AB0206"/>
    <w:rsid w:val="00AB14D1"/>
    <w:rsid w:val="00AB1D7A"/>
    <w:rsid w:val="00AC74BC"/>
    <w:rsid w:val="00AE3426"/>
    <w:rsid w:val="00AE4E27"/>
    <w:rsid w:val="00B00272"/>
    <w:rsid w:val="00B13AC5"/>
    <w:rsid w:val="00B26647"/>
    <w:rsid w:val="00B334A5"/>
    <w:rsid w:val="00B434D8"/>
    <w:rsid w:val="00B47730"/>
    <w:rsid w:val="00B51895"/>
    <w:rsid w:val="00B53AEE"/>
    <w:rsid w:val="00B55C85"/>
    <w:rsid w:val="00B67212"/>
    <w:rsid w:val="00B77205"/>
    <w:rsid w:val="00B776E4"/>
    <w:rsid w:val="00B81ECF"/>
    <w:rsid w:val="00B84297"/>
    <w:rsid w:val="00B9162A"/>
    <w:rsid w:val="00B9462A"/>
    <w:rsid w:val="00B96CA3"/>
    <w:rsid w:val="00BA25E9"/>
    <w:rsid w:val="00BA7644"/>
    <w:rsid w:val="00BA7FB3"/>
    <w:rsid w:val="00BB33CE"/>
    <w:rsid w:val="00BC3311"/>
    <w:rsid w:val="00BC6FD5"/>
    <w:rsid w:val="00BD75C7"/>
    <w:rsid w:val="00BE1786"/>
    <w:rsid w:val="00BF2244"/>
    <w:rsid w:val="00BF564A"/>
    <w:rsid w:val="00BF7C69"/>
    <w:rsid w:val="00C2025A"/>
    <w:rsid w:val="00C220CB"/>
    <w:rsid w:val="00C338D1"/>
    <w:rsid w:val="00C33DC2"/>
    <w:rsid w:val="00C349D9"/>
    <w:rsid w:val="00C4405E"/>
    <w:rsid w:val="00C50AE5"/>
    <w:rsid w:val="00C53986"/>
    <w:rsid w:val="00C55570"/>
    <w:rsid w:val="00C67E63"/>
    <w:rsid w:val="00C759C1"/>
    <w:rsid w:val="00C85980"/>
    <w:rsid w:val="00C9068C"/>
    <w:rsid w:val="00C92B4D"/>
    <w:rsid w:val="00C95C55"/>
    <w:rsid w:val="00C96C3F"/>
    <w:rsid w:val="00CA1CB1"/>
    <w:rsid w:val="00CB0664"/>
    <w:rsid w:val="00CC0283"/>
    <w:rsid w:val="00CD1F00"/>
    <w:rsid w:val="00CD6C5A"/>
    <w:rsid w:val="00CE1E42"/>
    <w:rsid w:val="00CF01A5"/>
    <w:rsid w:val="00D0311B"/>
    <w:rsid w:val="00D03B07"/>
    <w:rsid w:val="00D22971"/>
    <w:rsid w:val="00D52A51"/>
    <w:rsid w:val="00D5561C"/>
    <w:rsid w:val="00D61914"/>
    <w:rsid w:val="00D6314B"/>
    <w:rsid w:val="00D668E6"/>
    <w:rsid w:val="00D74BA6"/>
    <w:rsid w:val="00D7794F"/>
    <w:rsid w:val="00D86E9B"/>
    <w:rsid w:val="00D90E0F"/>
    <w:rsid w:val="00D94C19"/>
    <w:rsid w:val="00DA0636"/>
    <w:rsid w:val="00DC0EAD"/>
    <w:rsid w:val="00DC230C"/>
    <w:rsid w:val="00DC4872"/>
    <w:rsid w:val="00DC5622"/>
    <w:rsid w:val="00DD1676"/>
    <w:rsid w:val="00DD3FFF"/>
    <w:rsid w:val="00DD4A57"/>
    <w:rsid w:val="00DD6337"/>
    <w:rsid w:val="00DE4B1F"/>
    <w:rsid w:val="00DE56C4"/>
    <w:rsid w:val="00DE597F"/>
    <w:rsid w:val="00DF006C"/>
    <w:rsid w:val="00DF47D3"/>
    <w:rsid w:val="00DF659B"/>
    <w:rsid w:val="00E04A02"/>
    <w:rsid w:val="00E04AB8"/>
    <w:rsid w:val="00E10F20"/>
    <w:rsid w:val="00E113EE"/>
    <w:rsid w:val="00E134B3"/>
    <w:rsid w:val="00E308F8"/>
    <w:rsid w:val="00E338B2"/>
    <w:rsid w:val="00E3478B"/>
    <w:rsid w:val="00E40177"/>
    <w:rsid w:val="00E43A8D"/>
    <w:rsid w:val="00E45D39"/>
    <w:rsid w:val="00E556D1"/>
    <w:rsid w:val="00E766D0"/>
    <w:rsid w:val="00E7694A"/>
    <w:rsid w:val="00E77564"/>
    <w:rsid w:val="00E82E03"/>
    <w:rsid w:val="00E84845"/>
    <w:rsid w:val="00E95791"/>
    <w:rsid w:val="00E974A8"/>
    <w:rsid w:val="00EC08F9"/>
    <w:rsid w:val="00ED6C3C"/>
    <w:rsid w:val="00EE7024"/>
    <w:rsid w:val="00F12F7F"/>
    <w:rsid w:val="00F13471"/>
    <w:rsid w:val="00F158FA"/>
    <w:rsid w:val="00F16269"/>
    <w:rsid w:val="00F17559"/>
    <w:rsid w:val="00F20746"/>
    <w:rsid w:val="00F2428F"/>
    <w:rsid w:val="00F26246"/>
    <w:rsid w:val="00F27342"/>
    <w:rsid w:val="00F44F72"/>
    <w:rsid w:val="00F478EE"/>
    <w:rsid w:val="00F47A8D"/>
    <w:rsid w:val="00F5165C"/>
    <w:rsid w:val="00F52559"/>
    <w:rsid w:val="00F5381C"/>
    <w:rsid w:val="00F658A5"/>
    <w:rsid w:val="00F8105A"/>
    <w:rsid w:val="00F8552D"/>
    <w:rsid w:val="00F86F72"/>
    <w:rsid w:val="00FA0F6B"/>
    <w:rsid w:val="00FA2831"/>
    <w:rsid w:val="00FB2554"/>
    <w:rsid w:val="00FB5FF8"/>
    <w:rsid w:val="00FC01A5"/>
    <w:rsid w:val="00FC693F"/>
    <w:rsid w:val="00FC6A60"/>
    <w:rsid w:val="00FE0EE9"/>
    <w:rsid w:val="00FE551C"/>
    <w:rsid w:val="00FF5DD0"/>
    <w:rsid w:val="00FF7A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56DDEF6"/>
  <w14:defaultImageDpi w14:val="300"/>
  <w15:docId w15:val="{7E5D9F78-D60D-4930-B8F2-D6D50BB7C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40CC"/>
    <w:rPr>
      <w:lang w:val="pt-BR"/>
    </w:rPr>
  </w:style>
  <w:style w:type="paragraph" w:styleId="Ttulo1">
    <w:name w:val="heading 1"/>
    <w:basedOn w:val="Normal"/>
    <w:next w:val="Normal"/>
    <w:link w:val="Ttulo1Char"/>
    <w:uiPriority w:val="9"/>
    <w:qFormat/>
    <w:rsid w:val="00FC693F"/>
    <w:pPr>
      <w:keepNext/>
      <w:keepLines/>
      <w:spacing w:before="480" w:after="0"/>
      <w:outlineLvl w:val="0"/>
    </w:pPr>
    <w:rPr>
      <w:rFonts w:asciiTheme="majorHAnsi" w:eastAsiaTheme="majorEastAsia" w:hAnsiTheme="majorHAnsi" w:cstheme="majorBidi"/>
      <w:b/>
      <w:bCs/>
      <w:color w:val="0F4761" w:themeColor="accent1" w:themeShade="BF"/>
      <w:sz w:val="28"/>
      <w:szCs w:val="28"/>
    </w:rPr>
  </w:style>
  <w:style w:type="paragraph" w:styleId="Ttulo2">
    <w:name w:val="heading 2"/>
    <w:basedOn w:val="Normal"/>
    <w:next w:val="Normal"/>
    <w:link w:val="Ttulo2Char"/>
    <w:uiPriority w:val="9"/>
    <w:unhideWhenUsed/>
    <w:qFormat/>
    <w:rsid w:val="00FC693F"/>
    <w:pPr>
      <w:keepNext/>
      <w:keepLines/>
      <w:spacing w:before="200" w:after="0"/>
      <w:outlineLvl w:val="1"/>
    </w:pPr>
    <w:rPr>
      <w:rFonts w:asciiTheme="majorHAnsi" w:eastAsiaTheme="majorEastAsia" w:hAnsiTheme="majorHAnsi" w:cstheme="majorBidi"/>
      <w:b/>
      <w:bCs/>
      <w:color w:val="156082" w:themeColor="accent1"/>
      <w:sz w:val="26"/>
      <w:szCs w:val="26"/>
    </w:rPr>
  </w:style>
  <w:style w:type="paragraph" w:styleId="Ttulo3">
    <w:name w:val="heading 3"/>
    <w:basedOn w:val="Normal"/>
    <w:next w:val="Normal"/>
    <w:link w:val="Ttulo3Char"/>
    <w:uiPriority w:val="9"/>
    <w:unhideWhenUsed/>
    <w:qFormat/>
    <w:rsid w:val="00FC693F"/>
    <w:pPr>
      <w:keepNext/>
      <w:keepLines/>
      <w:spacing w:before="200" w:after="0"/>
      <w:outlineLvl w:val="2"/>
    </w:pPr>
    <w:rPr>
      <w:rFonts w:asciiTheme="majorHAnsi" w:eastAsiaTheme="majorEastAsia" w:hAnsiTheme="majorHAnsi" w:cstheme="majorBidi"/>
      <w:b/>
      <w:bCs/>
      <w:color w:val="156082" w:themeColor="accent1"/>
    </w:rPr>
  </w:style>
  <w:style w:type="paragraph" w:styleId="Ttulo4">
    <w:name w:val="heading 4"/>
    <w:basedOn w:val="Normal"/>
    <w:next w:val="Normal"/>
    <w:link w:val="Ttulo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156082" w:themeColor="accent1"/>
    </w:rPr>
  </w:style>
  <w:style w:type="paragraph" w:styleId="Ttulo5">
    <w:name w:val="heading 5"/>
    <w:basedOn w:val="Normal"/>
    <w:next w:val="Normal"/>
    <w:link w:val="Ttulo5Char"/>
    <w:uiPriority w:val="9"/>
    <w:semiHidden/>
    <w:unhideWhenUsed/>
    <w:qFormat/>
    <w:rsid w:val="00FC693F"/>
    <w:pPr>
      <w:keepNext/>
      <w:keepLines/>
      <w:spacing w:before="200" w:after="0"/>
      <w:outlineLvl w:val="4"/>
    </w:pPr>
    <w:rPr>
      <w:rFonts w:asciiTheme="majorHAnsi" w:eastAsiaTheme="majorEastAsia" w:hAnsiTheme="majorHAnsi" w:cstheme="majorBidi"/>
      <w:color w:val="0A2F40" w:themeColor="accent1" w:themeShade="7F"/>
    </w:rPr>
  </w:style>
  <w:style w:type="paragraph" w:styleId="Ttulo6">
    <w:name w:val="heading 6"/>
    <w:basedOn w:val="Normal"/>
    <w:next w:val="Normal"/>
    <w:link w:val="Ttulo6Char"/>
    <w:uiPriority w:val="9"/>
    <w:semiHidden/>
    <w:unhideWhenUsed/>
    <w:qFormat/>
    <w:rsid w:val="00FC693F"/>
    <w:pPr>
      <w:keepNext/>
      <w:keepLines/>
      <w:spacing w:before="200" w:after="0"/>
      <w:outlineLvl w:val="5"/>
    </w:pPr>
    <w:rPr>
      <w:rFonts w:asciiTheme="majorHAnsi" w:eastAsiaTheme="majorEastAsia" w:hAnsiTheme="majorHAnsi" w:cstheme="majorBidi"/>
      <w:i/>
      <w:iCs/>
      <w:color w:val="0A2F40" w:themeColor="accent1" w:themeShade="7F"/>
    </w:rPr>
  </w:style>
  <w:style w:type="paragraph" w:styleId="Ttulo7">
    <w:name w:val="heading 7"/>
    <w:basedOn w:val="Normal"/>
    <w:next w:val="Normal"/>
    <w:link w:val="Ttulo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FC693F"/>
    <w:pPr>
      <w:keepNext/>
      <w:keepLines/>
      <w:spacing w:before="200" w:after="0"/>
      <w:outlineLvl w:val="7"/>
    </w:pPr>
    <w:rPr>
      <w:rFonts w:asciiTheme="majorHAnsi" w:eastAsiaTheme="majorEastAsia" w:hAnsiTheme="majorHAnsi" w:cstheme="majorBidi"/>
      <w:color w:val="156082" w:themeColor="accent1"/>
      <w:sz w:val="20"/>
      <w:szCs w:val="20"/>
    </w:rPr>
  </w:style>
  <w:style w:type="paragraph" w:styleId="Ttulo9">
    <w:name w:val="heading 9"/>
    <w:basedOn w:val="Normal"/>
    <w:next w:val="Normal"/>
    <w:link w:val="Ttulo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618BF"/>
    <w:pPr>
      <w:tabs>
        <w:tab w:val="center" w:pos="4680"/>
        <w:tab w:val="right" w:pos="9360"/>
      </w:tabs>
      <w:spacing w:after="0" w:line="240" w:lineRule="auto"/>
    </w:pPr>
  </w:style>
  <w:style w:type="character" w:customStyle="1" w:styleId="CabealhoChar">
    <w:name w:val="Cabeçalho Char"/>
    <w:basedOn w:val="Fontepargpadro"/>
    <w:link w:val="Cabealho"/>
    <w:uiPriority w:val="99"/>
    <w:rsid w:val="00E618BF"/>
  </w:style>
  <w:style w:type="paragraph" w:styleId="Rodap">
    <w:name w:val="footer"/>
    <w:basedOn w:val="Normal"/>
    <w:link w:val="RodapChar"/>
    <w:uiPriority w:val="99"/>
    <w:unhideWhenUsed/>
    <w:rsid w:val="00E618BF"/>
    <w:pPr>
      <w:tabs>
        <w:tab w:val="center" w:pos="4680"/>
        <w:tab w:val="right" w:pos="9360"/>
      </w:tabs>
      <w:spacing w:after="0" w:line="240" w:lineRule="auto"/>
    </w:pPr>
  </w:style>
  <w:style w:type="character" w:customStyle="1" w:styleId="RodapChar">
    <w:name w:val="Rodapé Char"/>
    <w:basedOn w:val="Fontepargpadro"/>
    <w:link w:val="Rodap"/>
    <w:uiPriority w:val="99"/>
    <w:rsid w:val="00E618BF"/>
  </w:style>
  <w:style w:type="paragraph" w:styleId="SemEspaamento">
    <w:name w:val="No Spacing"/>
    <w:uiPriority w:val="1"/>
    <w:qFormat/>
    <w:rsid w:val="00FC693F"/>
    <w:pPr>
      <w:spacing w:after="0" w:line="240" w:lineRule="auto"/>
    </w:pPr>
  </w:style>
  <w:style w:type="character" w:customStyle="1" w:styleId="Ttulo1Char">
    <w:name w:val="Título 1 Char"/>
    <w:basedOn w:val="Fontepargpadro"/>
    <w:link w:val="Ttulo1"/>
    <w:uiPriority w:val="9"/>
    <w:rsid w:val="00FC693F"/>
    <w:rPr>
      <w:rFonts w:asciiTheme="majorHAnsi" w:eastAsiaTheme="majorEastAsia" w:hAnsiTheme="majorHAnsi" w:cstheme="majorBidi"/>
      <w:b/>
      <w:bCs/>
      <w:color w:val="0F4761" w:themeColor="accent1" w:themeShade="BF"/>
      <w:sz w:val="28"/>
      <w:szCs w:val="28"/>
    </w:rPr>
  </w:style>
  <w:style w:type="character" w:customStyle="1" w:styleId="Ttulo2Char">
    <w:name w:val="Título 2 Char"/>
    <w:basedOn w:val="Fontepargpadro"/>
    <w:link w:val="Ttulo2"/>
    <w:uiPriority w:val="9"/>
    <w:rsid w:val="00FC693F"/>
    <w:rPr>
      <w:rFonts w:asciiTheme="majorHAnsi" w:eastAsiaTheme="majorEastAsia" w:hAnsiTheme="majorHAnsi" w:cstheme="majorBidi"/>
      <w:b/>
      <w:bCs/>
      <w:color w:val="156082" w:themeColor="accent1"/>
      <w:sz w:val="26"/>
      <w:szCs w:val="26"/>
    </w:rPr>
  </w:style>
  <w:style w:type="character" w:customStyle="1" w:styleId="Ttulo3Char">
    <w:name w:val="Título 3 Char"/>
    <w:basedOn w:val="Fontepargpadro"/>
    <w:link w:val="Ttulo3"/>
    <w:uiPriority w:val="9"/>
    <w:rsid w:val="00FC693F"/>
    <w:rPr>
      <w:rFonts w:asciiTheme="majorHAnsi" w:eastAsiaTheme="majorEastAsia" w:hAnsiTheme="majorHAnsi" w:cstheme="majorBidi"/>
      <w:b/>
      <w:bCs/>
      <w:color w:val="156082" w:themeColor="accent1"/>
    </w:rPr>
  </w:style>
  <w:style w:type="paragraph" w:styleId="Ttulo">
    <w:name w:val="Title"/>
    <w:basedOn w:val="Normal"/>
    <w:next w:val="Normal"/>
    <w:link w:val="TtuloChar"/>
    <w:uiPriority w:val="10"/>
    <w:qFormat/>
    <w:rsid w:val="00FC693F"/>
    <w:pPr>
      <w:pBdr>
        <w:bottom w:val="single" w:sz="8" w:space="4" w:color="156082" w:themeColor="accent1"/>
      </w:pBdr>
      <w:spacing w:after="300" w:line="240" w:lineRule="auto"/>
      <w:contextualSpacing/>
    </w:pPr>
    <w:rPr>
      <w:rFonts w:asciiTheme="majorHAnsi" w:eastAsiaTheme="majorEastAsia" w:hAnsiTheme="majorHAnsi" w:cstheme="majorBidi"/>
      <w:color w:val="0A1D30" w:themeColor="text2" w:themeShade="BF"/>
      <w:spacing w:val="5"/>
      <w:kern w:val="28"/>
      <w:sz w:val="52"/>
      <w:szCs w:val="52"/>
    </w:rPr>
  </w:style>
  <w:style w:type="character" w:customStyle="1" w:styleId="TtuloChar">
    <w:name w:val="Título Char"/>
    <w:basedOn w:val="Fontepargpadro"/>
    <w:link w:val="Ttulo"/>
    <w:uiPriority w:val="10"/>
    <w:rsid w:val="00FC693F"/>
    <w:rPr>
      <w:rFonts w:asciiTheme="majorHAnsi" w:eastAsiaTheme="majorEastAsia" w:hAnsiTheme="majorHAnsi" w:cstheme="majorBidi"/>
      <w:color w:val="0A1D30" w:themeColor="text2" w:themeShade="BF"/>
      <w:spacing w:val="5"/>
      <w:kern w:val="28"/>
      <w:sz w:val="52"/>
      <w:szCs w:val="52"/>
    </w:rPr>
  </w:style>
  <w:style w:type="paragraph" w:styleId="Subttulo">
    <w:name w:val="Subtitle"/>
    <w:basedOn w:val="Normal"/>
    <w:next w:val="Normal"/>
    <w:link w:val="SubttuloChar"/>
    <w:uiPriority w:val="11"/>
    <w:qFormat/>
    <w:rsid w:val="00FC693F"/>
    <w:pPr>
      <w:numPr>
        <w:ilvl w:val="1"/>
      </w:numPr>
    </w:pPr>
    <w:rPr>
      <w:rFonts w:asciiTheme="majorHAnsi" w:eastAsiaTheme="majorEastAsia" w:hAnsiTheme="majorHAnsi" w:cstheme="majorBidi"/>
      <w:i/>
      <w:iCs/>
      <w:color w:val="156082" w:themeColor="accent1"/>
      <w:spacing w:val="15"/>
      <w:sz w:val="24"/>
      <w:szCs w:val="24"/>
    </w:rPr>
  </w:style>
  <w:style w:type="character" w:customStyle="1" w:styleId="SubttuloChar">
    <w:name w:val="Subtítulo Char"/>
    <w:basedOn w:val="Fontepargpadro"/>
    <w:link w:val="Subttulo"/>
    <w:uiPriority w:val="11"/>
    <w:rsid w:val="00FC693F"/>
    <w:rPr>
      <w:rFonts w:asciiTheme="majorHAnsi" w:eastAsiaTheme="majorEastAsia" w:hAnsiTheme="majorHAnsi" w:cstheme="majorBidi"/>
      <w:i/>
      <w:iCs/>
      <w:color w:val="156082" w:themeColor="accent1"/>
      <w:spacing w:val="15"/>
      <w:sz w:val="24"/>
      <w:szCs w:val="24"/>
    </w:rPr>
  </w:style>
  <w:style w:type="paragraph" w:styleId="PargrafodaLista">
    <w:name w:val="List Paragraph"/>
    <w:aliases w:val="parágrafos recuados 1 (letras)"/>
    <w:basedOn w:val="Normal"/>
    <w:link w:val="PargrafodaListaChar"/>
    <w:uiPriority w:val="34"/>
    <w:qFormat/>
    <w:rsid w:val="00FC693F"/>
    <w:pPr>
      <w:ind w:left="720"/>
      <w:contextualSpacing/>
    </w:pPr>
  </w:style>
  <w:style w:type="paragraph" w:styleId="Corpodetexto">
    <w:name w:val="Body Text"/>
    <w:basedOn w:val="Normal"/>
    <w:link w:val="CorpodetextoChar"/>
    <w:uiPriority w:val="99"/>
    <w:unhideWhenUsed/>
    <w:rsid w:val="00AA1D8D"/>
    <w:pPr>
      <w:spacing w:after="120"/>
    </w:pPr>
  </w:style>
  <w:style w:type="character" w:customStyle="1" w:styleId="CorpodetextoChar">
    <w:name w:val="Corpo de texto Char"/>
    <w:basedOn w:val="Fontepargpadro"/>
    <w:link w:val="Corpodetexto"/>
    <w:uiPriority w:val="99"/>
    <w:rsid w:val="00AA1D8D"/>
  </w:style>
  <w:style w:type="paragraph" w:styleId="Corpodetexto2">
    <w:name w:val="Body Text 2"/>
    <w:basedOn w:val="Normal"/>
    <w:link w:val="Corpodetexto2Char"/>
    <w:uiPriority w:val="99"/>
    <w:unhideWhenUsed/>
    <w:rsid w:val="00AA1D8D"/>
    <w:pPr>
      <w:spacing w:after="120" w:line="480" w:lineRule="auto"/>
    </w:pPr>
  </w:style>
  <w:style w:type="character" w:customStyle="1" w:styleId="Corpodetexto2Char">
    <w:name w:val="Corpo de texto 2 Char"/>
    <w:basedOn w:val="Fontepargpadro"/>
    <w:link w:val="Corpodetexto2"/>
    <w:uiPriority w:val="99"/>
    <w:rsid w:val="00AA1D8D"/>
  </w:style>
  <w:style w:type="paragraph" w:styleId="Corpodetexto3">
    <w:name w:val="Body Text 3"/>
    <w:basedOn w:val="Normal"/>
    <w:link w:val="Corpodetexto3Char"/>
    <w:uiPriority w:val="99"/>
    <w:unhideWhenUsed/>
    <w:rsid w:val="00AA1D8D"/>
    <w:pPr>
      <w:spacing w:after="120"/>
    </w:pPr>
    <w:rPr>
      <w:sz w:val="16"/>
      <w:szCs w:val="16"/>
    </w:rPr>
  </w:style>
  <w:style w:type="character" w:customStyle="1" w:styleId="Corpodetexto3Char">
    <w:name w:val="Corpo de texto 3 Char"/>
    <w:basedOn w:val="Fontepargpadro"/>
    <w:link w:val="Corpodetexto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Commarcadores">
    <w:name w:val="List Bullet"/>
    <w:basedOn w:val="Normal"/>
    <w:uiPriority w:val="99"/>
    <w:unhideWhenUsed/>
    <w:rsid w:val="00326F90"/>
    <w:pPr>
      <w:numPr>
        <w:numId w:val="1"/>
      </w:numPr>
      <w:contextualSpacing/>
    </w:pPr>
  </w:style>
  <w:style w:type="paragraph" w:styleId="Commarcadores2">
    <w:name w:val="List Bullet 2"/>
    <w:basedOn w:val="Normal"/>
    <w:uiPriority w:val="99"/>
    <w:unhideWhenUsed/>
    <w:rsid w:val="00326F90"/>
    <w:pPr>
      <w:numPr>
        <w:numId w:val="2"/>
      </w:numPr>
      <w:contextualSpacing/>
    </w:pPr>
  </w:style>
  <w:style w:type="paragraph" w:styleId="Commarcadores3">
    <w:name w:val="List Bullet 3"/>
    <w:basedOn w:val="Normal"/>
    <w:uiPriority w:val="99"/>
    <w:unhideWhenUsed/>
    <w:rsid w:val="00326F90"/>
    <w:pPr>
      <w:numPr>
        <w:numId w:val="3"/>
      </w:numPr>
      <w:contextualSpacing/>
    </w:pPr>
  </w:style>
  <w:style w:type="paragraph" w:styleId="Numerada">
    <w:name w:val="List Number"/>
    <w:basedOn w:val="Normal"/>
    <w:uiPriority w:val="99"/>
    <w:unhideWhenUsed/>
    <w:rsid w:val="00326F90"/>
    <w:pPr>
      <w:numPr>
        <w:numId w:val="5"/>
      </w:numPr>
      <w:contextualSpacing/>
    </w:pPr>
  </w:style>
  <w:style w:type="paragraph" w:styleId="Numerada2">
    <w:name w:val="List Number 2"/>
    <w:basedOn w:val="Normal"/>
    <w:uiPriority w:val="99"/>
    <w:unhideWhenUsed/>
    <w:rsid w:val="0029639D"/>
    <w:pPr>
      <w:numPr>
        <w:numId w:val="6"/>
      </w:numPr>
      <w:contextualSpacing/>
    </w:pPr>
  </w:style>
  <w:style w:type="paragraph" w:styleId="Numerada3">
    <w:name w:val="List Number 3"/>
    <w:basedOn w:val="Normal"/>
    <w:uiPriority w:val="99"/>
    <w:unhideWhenUsed/>
    <w:rsid w:val="0029639D"/>
    <w:pPr>
      <w:numPr>
        <w:numId w:val="7"/>
      </w:numPr>
      <w:contextualSpacing/>
    </w:pPr>
  </w:style>
  <w:style w:type="paragraph" w:styleId="Listadecontinuao">
    <w:name w:val="List Continue"/>
    <w:basedOn w:val="Normal"/>
    <w:uiPriority w:val="99"/>
    <w:unhideWhenUsed/>
    <w:rsid w:val="0029639D"/>
    <w:pPr>
      <w:spacing w:after="120"/>
      <w:ind w:left="360"/>
      <w:contextualSpacing/>
    </w:pPr>
  </w:style>
  <w:style w:type="paragraph" w:styleId="Listadecontinuao2">
    <w:name w:val="List Continue 2"/>
    <w:basedOn w:val="Normal"/>
    <w:uiPriority w:val="99"/>
    <w:unhideWhenUsed/>
    <w:rsid w:val="0029639D"/>
    <w:pPr>
      <w:spacing w:after="120"/>
      <w:ind w:left="720"/>
      <w:contextualSpacing/>
    </w:pPr>
  </w:style>
  <w:style w:type="paragraph" w:styleId="Listadecontinuao3">
    <w:name w:val="List Continue 3"/>
    <w:basedOn w:val="Normal"/>
    <w:uiPriority w:val="99"/>
    <w:unhideWhenUsed/>
    <w:rsid w:val="0029639D"/>
    <w:pPr>
      <w:spacing w:after="120"/>
      <w:ind w:left="1080"/>
      <w:contextualSpacing/>
    </w:pPr>
  </w:style>
  <w:style w:type="paragraph" w:styleId="Textodemacro">
    <w:name w:val="macro"/>
    <w:link w:val="Textodemacro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demacroChar">
    <w:name w:val="Texto de macro Char"/>
    <w:basedOn w:val="Fontepargpadro"/>
    <w:link w:val="Textodemacro"/>
    <w:uiPriority w:val="99"/>
    <w:rsid w:val="0029639D"/>
    <w:rPr>
      <w:rFonts w:ascii="Courier" w:hAnsi="Courier"/>
      <w:sz w:val="20"/>
      <w:szCs w:val="20"/>
    </w:rPr>
  </w:style>
  <w:style w:type="paragraph" w:styleId="Citao">
    <w:name w:val="Quote"/>
    <w:basedOn w:val="Normal"/>
    <w:next w:val="Normal"/>
    <w:link w:val="CitaoChar"/>
    <w:uiPriority w:val="29"/>
    <w:qFormat/>
    <w:rsid w:val="00FC693F"/>
    <w:rPr>
      <w:i/>
      <w:iCs/>
      <w:color w:val="000000" w:themeColor="text1"/>
    </w:rPr>
  </w:style>
  <w:style w:type="character" w:customStyle="1" w:styleId="CitaoChar">
    <w:name w:val="Citação Char"/>
    <w:basedOn w:val="Fontepargpadro"/>
    <w:link w:val="Citao"/>
    <w:uiPriority w:val="29"/>
    <w:rsid w:val="00FC693F"/>
    <w:rPr>
      <w:i/>
      <w:iCs/>
      <w:color w:val="000000" w:themeColor="text1"/>
    </w:rPr>
  </w:style>
  <w:style w:type="character" w:customStyle="1" w:styleId="Ttulo4Char">
    <w:name w:val="Título 4 Char"/>
    <w:basedOn w:val="Fontepargpadro"/>
    <w:link w:val="Ttulo4"/>
    <w:uiPriority w:val="9"/>
    <w:semiHidden/>
    <w:rsid w:val="00FC693F"/>
    <w:rPr>
      <w:rFonts w:asciiTheme="majorHAnsi" w:eastAsiaTheme="majorEastAsia" w:hAnsiTheme="majorHAnsi" w:cstheme="majorBidi"/>
      <w:b/>
      <w:bCs/>
      <w:i/>
      <w:iCs/>
      <w:color w:val="156082" w:themeColor="accent1"/>
    </w:rPr>
  </w:style>
  <w:style w:type="character" w:customStyle="1" w:styleId="Ttulo5Char">
    <w:name w:val="Título 5 Char"/>
    <w:basedOn w:val="Fontepargpadro"/>
    <w:link w:val="Ttulo5"/>
    <w:uiPriority w:val="9"/>
    <w:semiHidden/>
    <w:rsid w:val="00FC693F"/>
    <w:rPr>
      <w:rFonts w:asciiTheme="majorHAnsi" w:eastAsiaTheme="majorEastAsia" w:hAnsiTheme="majorHAnsi" w:cstheme="majorBidi"/>
      <w:color w:val="0A2F40" w:themeColor="accent1" w:themeShade="7F"/>
    </w:rPr>
  </w:style>
  <w:style w:type="character" w:customStyle="1" w:styleId="Ttulo6Char">
    <w:name w:val="Título 6 Char"/>
    <w:basedOn w:val="Fontepargpadro"/>
    <w:link w:val="Ttulo6"/>
    <w:uiPriority w:val="9"/>
    <w:semiHidden/>
    <w:rsid w:val="00FC693F"/>
    <w:rPr>
      <w:rFonts w:asciiTheme="majorHAnsi" w:eastAsiaTheme="majorEastAsia" w:hAnsiTheme="majorHAnsi" w:cstheme="majorBidi"/>
      <w:i/>
      <w:iCs/>
      <w:color w:val="0A2F40" w:themeColor="accent1" w:themeShade="7F"/>
    </w:rPr>
  </w:style>
  <w:style w:type="character" w:customStyle="1" w:styleId="Ttulo7Char">
    <w:name w:val="Título 7 Char"/>
    <w:basedOn w:val="Fontepargpadro"/>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semiHidden/>
    <w:rsid w:val="00FC693F"/>
    <w:rPr>
      <w:rFonts w:asciiTheme="majorHAnsi" w:eastAsiaTheme="majorEastAsia" w:hAnsiTheme="majorHAnsi" w:cstheme="majorBidi"/>
      <w:color w:val="156082" w:themeColor="accent1"/>
      <w:sz w:val="20"/>
      <w:szCs w:val="20"/>
    </w:rPr>
  </w:style>
  <w:style w:type="character" w:customStyle="1" w:styleId="Ttulo9Char">
    <w:name w:val="Título 9 Char"/>
    <w:basedOn w:val="Fontepargpadro"/>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Legenda">
    <w:name w:val="caption"/>
    <w:basedOn w:val="Normal"/>
    <w:next w:val="Normal"/>
    <w:uiPriority w:val="35"/>
    <w:semiHidden/>
    <w:unhideWhenUsed/>
    <w:qFormat/>
    <w:rsid w:val="00FC693F"/>
    <w:pPr>
      <w:spacing w:line="240" w:lineRule="auto"/>
    </w:pPr>
    <w:rPr>
      <w:b/>
      <w:bCs/>
      <w:color w:val="156082" w:themeColor="accent1"/>
      <w:sz w:val="18"/>
      <w:szCs w:val="18"/>
    </w:rPr>
  </w:style>
  <w:style w:type="character" w:styleId="Forte">
    <w:name w:val="Strong"/>
    <w:basedOn w:val="Fontepargpadro"/>
    <w:uiPriority w:val="22"/>
    <w:qFormat/>
    <w:rsid w:val="00FC693F"/>
    <w:rPr>
      <w:b/>
      <w:bCs/>
    </w:rPr>
  </w:style>
  <w:style w:type="character" w:styleId="nfase">
    <w:name w:val="Emphasis"/>
    <w:basedOn w:val="Fontepargpadro"/>
    <w:uiPriority w:val="20"/>
    <w:qFormat/>
    <w:rsid w:val="00FC693F"/>
    <w:rPr>
      <w:i/>
      <w:iCs/>
    </w:rPr>
  </w:style>
  <w:style w:type="paragraph" w:styleId="CitaoIntensa">
    <w:name w:val="Intense Quote"/>
    <w:basedOn w:val="Normal"/>
    <w:next w:val="Normal"/>
    <w:link w:val="CitaoIntensaChar"/>
    <w:uiPriority w:val="30"/>
    <w:qFormat/>
    <w:rsid w:val="00FC693F"/>
    <w:pPr>
      <w:pBdr>
        <w:bottom w:val="single" w:sz="4" w:space="4" w:color="156082" w:themeColor="accent1"/>
      </w:pBdr>
      <w:spacing w:before="200" w:after="280"/>
      <w:ind w:left="936" w:right="936"/>
    </w:pPr>
    <w:rPr>
      <w:b/>
      <w:bCs/>
      <w:i/>
      <w:iCs/>
      <w:color w:val="156082" w:themeColor="accent1"/>
    </w:rPr>
  </w:style>
  <w:style w:type="character" w:customStyle="1" w:styleId="CitaoIntensaChar">
    <w:name w:val="Citação Intensa Char"/>
    <w:basedOn w:val="Fontepargpadro"/>
    <w:link w:val="CitaoIntensa"/>
    <w:uiPriority w:val="30"/>
    <w:rsid w:val="00FC693F"/>
    <w:rPr>
      <w:b/>
      <w:bCs/>
      <w:i/>
      <w:iCs/>
      <w:color w:val="156082" w:themeColor="accent1"/>
    </w:rPr>
  </w:style>
  <w:style w:type="character" w:styleId="nfaseSutil">
    <w:name w:val="Subtle Emphasis"/>
    <w:basedOn w:val="Fontepargpadro"/>
    <w:uiPriority w:val="19"/>
    <w:qFormat/>
    <w:rsid w:val="00FC693F"/>
    <w:rPr>
      <w:i/>
      <w:iCs/>
      <w:color w:val="808080" w:themeColor="text1" w:themeTint="7F"/>
    </w:rPr>
  </w:style>
  <w:style w:type="character" w:styleId="nfaseIntensa">
    <w:name w:val="Intense Emphasis"/>
    <w:basedOn w:val="Fontepargpadro"/>
    <w:uiPriority w:val="21"/>
    <w:qFormat/>
    <w:rsid w:val="00FC693F"/>
    <w:rPr>
      <w:b/>
      <w:bCs/>
      <w:i/>
      <w:iCs/>
      <w:color w:val="156082" w:themeColor="accent1"/>
    </w:rPr>
  </w:style>
  <w:style w:type="character" w:styleId="RefernciaSutil">
    <w:name w:val="Subtle Reference"/>
    <w:basedOn w:val="Fontepargpadro"/>
    <w:uiPriority w:val="31"/>
    <w:qFormat/>
    <w:rsid w:val="00FC693F"/>
    <w:rPr>
      <w:smallCaps/>
      <w:color w:val="E97132" w:themeColor="accent2"/>
      <w:u w:val="single"/>
    </w:rPr>
  </w:style>
  <w:style w:type="character" w:styleId="RefernciaIntensa">
    <w:name w:val="Intense Reference"/>
    <w:basedOn w:val="Fontepargpadro"/>
    <w:uiPriority w:val="32"/>
    <w:qFormat/>
    <w:rsid w:val="00FC693F"/>
    <w:rPr>
      <w:b/>
      <w:bCs/>
      <w:smallCaps/>
      <w:color w:val="E97132" w:themeColor="accent2"/>
      <w:spacing w:val="5"/>
      <w:u w:val="single"/>
    </w:rPr>
  </w:style>
  <w:style w:type="character" w:styleId="TtulodoLivro">
    <w:name w:val="Book Title"/>
    <w:basedOn w:val="Fontepargpadro"/>
    <w:uiPriority w:val="33"/>
    <w:qFormat/>
    <w:rsid w:val="00FC693F"/>
    <w:rPr>
      <w:b/>
      <w:bCs/>
      <w:smallCaps/>
      <w:spacing w:val="5"/>
    </w:rPr>
  </w:style>
  <w:style w:type="paragraph" w:styleId="CabealhodoSumrio">
    <w:name w:val="TOC Heading"/>
    <w:basedOn w:val="Ttulo1"/>
    <w:next w:val="Normal"/>
    <w:uiPriority w:val="39"/>
    <w:semiHidden/>
    <w:unhideWhenUsed/>
    <w:qFormat/>
    <w:rsid w:val="00FC693F"/>
    <w:pPr>
      <w:outlineLvl w:val="9"/>
    </w:pPr>
  </w:style>
  <w:style w:type="table" w:styleId="Tabelacomgrade">
    <w:name w:val="Table Grid"/>
    <w:basedOn w:val="Tabe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mentoClaro">
    <w:name w:val="Light Shading"/>
    <w:basedOn w:val="Tabe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mentoClaro-nfase1">
    <w:name w:val="Light Shading Accent 1"/>
    <w:basedOn w:val="Tabelanormal"/>
    <w:uiPriority w:val="60"/>
    <w:rsid w:val="00FC693F"/>
    <w:pPr>
      <w:spacing w:after="0" w:line="240" w:lineRule="auto"/>
    </w:pPr>
    <w:rPr>
      <w:color w:val="0F4761" w:themeColor="accent1" w:themeShade="BF"/>
    </w:rPr>
    <w:tblPr>
      <w:tblStyleRowBandSize w:val="1"/>
      <w:tblStyleColBandSize w:val="1"/>
      <w:tblBorders>
        <w:top w:val="single" w:sz="8" w:space="0" w:color="156082" w:themeColor="accent1"/>
        <w:bottom w:val="single" w:sz="8" w:space="0" w:color="156082" w:themeColor="accent1"/>
      </w:tblBorders>
    </w:tblPr>
    <w:tblStylePr w:type="fir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SombreamentoClaro-nfase2">
    <w:name w:val="Light Shading Accent 2"/>
    <w:basedOn w:val="Tabelanormal"/>
    <w:uiPriority w:val="60"/>
    <w:rsid w:val="00FC693F"/>
    <w:pPr>
      <w:spacing w:after="0" w:line="240" w:lineRule="auto"/>
    </w:pPr>
    <w:rPr>
      <w:color w:val="BF4E14" w:themeColor="accent2" w:themeShade="BF"/>
    </w:rPr>
    <w:tblPr>
      <w:tblStyleRowBandSize w:val="1"/>
      <w:tblStyleColBandSize w:val="1"/>
      <w:tblBorders>
        <w:top w:val="single" w:sz="8" w:space="0" w:color="E97132" w:themeColor="accent2"/>
        <w:bottom w:val="single" w:sz="8" w:space="0" w:color="E97132" w:themeColor="accent2"/>
      </w:tblBorders>
    </w:tblPr>
    <w:tblStylePr w:type="firstRow">
      <w:pPr>
        <w:spacing w:before="0" w:after="0" w:line="240" w:lineRule="auto"/>
      </w:pPr>
      <w:rPr>
        <w:b/>
        <w:bCs/>
      </w:rPr>
      <w:tblPr/>
      <w:tcPr>
        <w:tcBorders>
          <w:top w:val="single" w:sz="8" w:space="0" w:color="E97132" w:themeColor="accent2"/>
          <w:left w:val="nil"/>
          <w:bottom w:val="single" w:sz="8" w:space="0" w:color="E97132" w:themeColor="accent2"/>
          <w:right w:val="nil"/>
          <w:insideH w:val="nil"/>
          <w:insideV w:val="nil"/>
        </w:tcBorders>
      </w:tcPr>
    </w:tblStylePr>
    <w:tblStylePr w:type="lastRow">
      <w:pPr>
        <w:spacing w:before="0" w:after="0" w:line="240" w:lineRule="auto"/>
      </w:pPr>
      <w:rPr>
        <w:b/>
        <w:bCs/>
      </w:rPr>
      <w:tblPr/>
      <w:tcPr>
        <w:tcBorders>
          <w:top w:val="single" w:sz="8" w:space="0" w:color="E97132" w:themeColor="accent2"/>
          <w:left w:val="nil"/>
          <w:bottom w:val="single" w:sz="8" w:space="0" w:color="E9713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9DBCC" w:themeFill="accent2" w:themeFillTint="3F"/>
      </w:tcPr>
    </w:tblStylePr>
    <w:tblStylePr w:type="band1Horz">
      <w:tblPr/>
      <w:tcPr>
        <w:tcBorders>
          <w:left w:val="nil"/>
          <w:right w:val="nil"/>
          <w:insideH w:val="nil"/>
          <w:insideV w:val="nil"/>
        </w:tcBorders>
        <w:shd w:val="clear" w:color="auto" w:fill="F9DBCC" w:themeFill="accent2" w:themeFillTint="3F"/>
      </w:tcPr>
    </w:tblStylePr>
  </w:style>
  <w:style w:type="table" w:styleId="SombreamentoClaro-nfase3">
    <w:name w:val="Light Shading Accent 3"/>
    <w:basedOn w:val="Tabelanormal"/>
    <w:uiPriority w:val="60"/>
    <w:rsid w:val="00FC693F"/>
    <w:pPr>
      <w:spacing w:after="0" w:line="240" w:lineRule="auto"/>
    </w:pPr>
    <w:rPr>
      <w:color w:val="124F1A" w:themeColor="accent3" w:themeShade="BF"/>
    </w:rPr>
    <w:tblPr>
      <w:tblStyleRowBandSize w:val="1"/>
      <w:tblStyleColBandSize w:val="1"/>
      <w:tblBorders>
        <w:top w:val="single" w:sz="8" w:space="0" w:color="196B24" w:themeColor="accent3"/>
        <w:bottom w:val="single" w:sz="8" w:space="0" w:color="196B24" w:themeColor="accent3"/>
      </w:tblBorders>
    </w:tblPr>
    <w:tblStylePr w:type="firstRow">
      <w:pPr>
        <w:spacing w:before="0" w:after="0" w:line="240" w:lineRule="auto"/>
      </w:pPr>
      <w:rPr>
        <w:b/>
        <w:bCs/>
      </w:rPr>
      <w:tblPr/>
      <w:tcPr>
        <w:tcBorders>
          <w:top w:val="single" w:sz="8" w:space="0" w:color="196B24" w:themeColor="accent3"/>
          <w:left w:val="nil"/>
          <w:bottom w:val="single" w:sz="8" w:space="0" w:color="196B24" w:themeColor="accent3"/>
          <w:right w:val="nil"/>
          <w:insideH w:val="nil"/>
          <w:insideV w:val="nil"/>
        </w:tcBorders>
      </w:tcPr>
    </w:tblStylePr>
    <w:tblStylePr w:type="lastRow">
      <w:pPr>
        <w:spacing w:before="0" w:after="0" w:line="240" w:lineRule="auto"/>
      </w:pPr>
      <w:rPr>
        <w:b/>
        <w:bCs/>
      </w:rPr>
      <w:tblPr/>
      <w:tcPr>
        <w:tcBorders>
          <w:top w:val="single" w:sz="8" w:space="0" w:color="196B24" w:themeColor="accent3"/>
          <w:left w:val="nil"/>
          <w:bottom w:val="single" w:sz="8" w:space="0" w:color="196B24"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3EDBA" w:themeFill="accent3" w:themeFillTint="3F"/>
      </w:tcPr>
    </w:tblStylePr>
    <w:tblStylePr w:type="band1Horz">
      <w:tblPr/>
      <w:tcPr>
        <w:tcBorders>
          <w:left w:val="nil"/>
          <w:right w:val="nil"/>
          <w:insideH w:val="nil"/>
          <w:insideV w:val="nil"/>
        </w:tcBorders>
        <w:shd w:val="clear" w:color="auto" w:fill="B3EDBA" w:themeFill="accent3" w:themeFillTint="3F"/>
      </w:tcPr>
    </w:tblStylePr>
  </w:style>
  <w:style w:type="table" w:styleId="SombreamentoClaro-nfase4">
    <w:name w:val="Light Shading Accent 4"/>
    <w:basedOn w:val="Tabelanormal"/>
    <w:uiPriority w:val="60"/>
    <w:rsid w:val="00FC693F"/>
    <w:pPr>
      <w:spacing w:after="0" w:line="240" w:lineRule="auto"/>
    </w:pPr>
    <w:rPr>
      <w:color w:val="0B769F" w:themeColor="accent4" w:themeShade="BF"/>
    </w:rPr>
    <w:tblPr>
      <w:tblStyleRowBandSize w:val="1"/>
      <w:tblStyleColBandSize w:val="1"/>
      <w:tblBorders>
        <w:top w:val="single" w:sz="8" w:space="0" w:color="0F9ED5" w:themeColor="accent4"/>
        <w:bottom w:val="single" w:sz="8" w:space="0" w:color="0F9ED5" w:themeColor="accent4"/>
      </w:tblBorders>
    </w:tblPr>
    <w:tblStylePr w:type="firstRow">
      <w:pPr>
        <w:spacing w:before="0" w:after="0" w:line="240" w:lineRule="auto"/>
      </w:pPr>
      <w:rPr>
        <w:b/>
        <w:bCs/>
      </w:rPr>
      <w:tblPr/>
      <w:tcPr>
        <w:tcBorders>
          <w:top w:val="single" w:sz="8" w:space="0" w:color="0F9ED5" w:themeColor="accent4"/>
          <w:left w:val="nil"/>
          <w:bottom w:val="single" w:sz="8" w:space="0" w:color="0F9ED5" w:themeColor="accent4"/>
          <w:right w:val="nil"/>
          <w:insideH w:val="nil"/>
          <w:insideV w:val="nil"/>
        </w:tcBorders>
      </w:tcPr>
    </w:tblStylePr>
    <w:tblStylePr w:type="lastRow">
      <w:pPr>
        <w:spacing w:before="0" w:after="0" w:line="240" w:lineRule="auto"/>
      </w:pPr>
      <w:rPr>
        <w:b/>
        <w:bCs/>
      </w:rPr>
      <w:tblPr/>
      <w:tcPr>
        <w:tcBorders>
          <w:top w:val="single" w:sz="8" w:space="0" w:color="0F9ED5" w:themeColor="accent4"/>
          <w:left w:val="nil"/>
          <w:bottom w:val="single" w:sz="8" w:space="0" w:color="0F9ED5"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E9FA" w:themeFill="accent4" w:themeFillTint="3F"/>
      </w:tcPr>
    </w:tblStylePr>
    <w:tblStylePr w:type="band1Horz">
      <w:tblPr/>
      <w:tcPr>
        <w:tcBorders>
          <w:left w:val="nil"/>
          <w:right w:val="nil"/>
          <w:insideH w:val="nil"/>
          <w:insideV w:val="nil"/>
        </w:tcBorders>
        <w:shd w:val="clear" w:color="auto" w:fill="BDE9FA" w:themeFill="accent4" w:themeFillTint="3F"/>
      </w:tcPr>
    </w:tblStylePr>
  </w:style>
  <w:style w:type="table" w:styleId="SombreamentoClaro-nfase5">
    <w:name w:val="Light Shading Accent 5"/>
    <w:basedOn w:val="Tabelanormal"/>
    <w:uiPriority w:val="60"/>
    <w:rsid w:val="00FC693F"/>
    <w:pPr>
      <w:spacing w:after="0" w:line="240" w:lineRule="auto"/>
    </w:pPr>
    <w:rPr>
      <w:color w:val="77206D" w:themeColor="accent5" w:themeShade="BF"/>
    </w:rPr>
    <w:tblPr>
      <w:tblStyleRowBandSize w:val="1"/>
      <w:tblStyleColBandSize w:val="1"/>
      <w:tblBorders>
        <w:top w:val="single" w:sz="8" w:space="0" w:color="A02B93" w:themeColor="accent5"/>
        <w:bottom w:val="single" w:sz="8" w:space="0" w:color="A02B93" w:themeColor="accent5"/>
      </w:tblBorders>
    </w:tblPr>
    <w:tblStylePr w:type="firstRow">
      <w:pPr>
        <w:spacing w:before="0" w:after="0" w:line="240" w:lineRule="auto"/>
      </w:pPr>
      <w:rPr>
        <w:b/>
        <w:bCs/>
      </w:rPr>
      <w:tblPr/>
      <w:tcPr>
        <w:tcBorders>
          <w:top w:val="single" w:sz="8" w:space="0" w:color="A02B93" w:themeColor="accent5"/>
          <w:left w:val="nil"/>
          <w:bottom w:val="single" w:sz="8" w:space="0" w:color="A02B93" w:themeColor="accent5"/>
          <w:right w:val="nil"/>
          <w:insideH w:val="nil"/>
          <w:insideV w:val="nil"/>
        </w:tcBorders>
      </w:tcPr>
    </w:tblStylePr>
    <w:tblStylePr w:type="lastRow">
      <w:pPr>
        <w:spacing w:before="0" w:after="0" w:line="240" w:lineRule="auto"/>
      </w:pPr>
      <w:rPr>
        <w:b/>
        <w:bCs/>
      </w:rPr>
      <w:tblPr/>
      <w:tcPr>
        <w:tcBorders>
          <w:top w:val="single" w:sz="8" w:space="0" w:color="A02B93" w:themeColor="accent5"/>
          <w:left w:val="nil"/>
          <w:bottom w:val="single" w:sz="8" w:space="0" w:color="A02B93"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C3E9" w:themeFill="accent5" w:themeFillTint="3F"/>
      </w:tcPr>
    </w:tblStylePr>
    <w:tblStylePr w:type="band1Horz">
      <w:tblPr/>
      <w:tcPr>
        <w:tcBorders>
          <w:left w:val="nil"/>
          <w:right w:val="nil"/>
          <w:insideH w:val="nil"/>
          <w:insideV w:val="nil"/>
        </w:tcBorders>
        <w:shd w:val="clear" w:color="auto" w:fill="EFC3E9" w:themeFill="accent5" w:themeFillTint="3F"/>
      </w:tcPr>
    </w:tblStylePr>
  </w:style>
  <w:style w:type="table" w:styleId="SombreamentoClaro-nfase6">
    <w:name w:val="Light Shading Accent 6"/>
    <w:basedOn w:val="Tabelanormal"/>
    <w:uiPriority w:val="60"/>
    <w:rsid w:val="00FC693F"/>
    <w:pPr>
      <w:spacing w:after="0" w:line="240" w:lineRule="auto"/>
    </w:pPr>
    <w:rPr>
      <w:color w:val="3A7C22" w:themeColor="accent6" w:themeShade="BF"/>
    </w:rPr>
    <w:tblPr>
      <w:tblStyleRowBandSize w:val="1"/>
      <w:tblStyleColBandSize w:val="1"/>
      <w:tblBorders>
        <w:top w:val="single" w:sz="8" w:space="0" w:color="4EA72E" w:themeColor="accent6"/>
        <w:bottom w:val="single" w:sz="8" w:space="0" w:color="4EA72E" w:themeColor="accent6"/>
      </w:tblBorders>
    </w:tblPr>
    <w:tblStylePr w:type="firstRow">
      <w:pPr>
        <w:spacing w:before="0" w:after="0" w:line="240" w:lineRule="auto"/>
      </w:pPr>
      <w:rPr>
        <w:b/>
        <w:bCs/>
      </w:rPr>
      <w:tblPr/>
      <w:tcPr>
        <w:tcBorders>
          <w:top w:val="single" w:sz="8" w:space="0" w:color="4EA72E" w:themeColor="accent6"/>
          <w:left w:val="nil"/>
          <w:bottom w:val="single" w:sz="8" w:space="0" w:color="4EA72E" w:themeColor="accent6"/>
          <w:right w:val="nil"/>
          <w:insideH w:val="nil"/>
          <w:insideV w:val="nil"/>
        </w:tcBorders>
      </w:tcPr>
    </w:tblStylePr>
    <w:tblStylePr w:type="lastRow">
      <w:pPr>
        <w:spacing w:before="0" w:after="0" w:line="240" w:lineRule="auto"/>
      </w:pPr>
      <w:rPr>
        <w:b/>
        <w:bCs/>
      </w:rPr>
      <w:tblPr/>
      <w:tcPr>
        <w:tcBorders>
          <w:top w:val="single" w:sz="8" w:space="0" w:color="4EA72E" w:themeColor="accent6"/>
          <w:left w:val="nil"/>
          <w:bottom w:val="single" w:sz="8" w:space="0" w:color="4EA72E"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EFC5" w:themeFill="accent6" w:themeFillTint="3F"/>
      </w:tcPr>
    </w:tblStylePr>
    <w:tblStylePr w:type="band1Horz">
      <w:tblPr/>
      <w:tcPr>
        <w:tcBorders>
          <w:left w:val="nil"/>
          <w:right w:val="nil"/>
          <w:insideH w:val="nil"/>
          <w:insideV w:val="nil"/>
        </w:tcBorders>
        <w:shd w:val="clear" w:color="auto" w:fill="D0EFC5" w:themeFill="accent6" w:themeFillTint="3F"/>
      </w:tcPr>
    </w:tblStylePr>
  </w:style>
  <w:style w:type="table" w:styleId="ListaClara">
    <w:name w:val="Light List"/>
    <w:basedOn w:val="Tabe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e1">
    <w:name w:val="Light List Accent 1"/>
    <w:basedOn w:val="Tabelanormal"/>
    <w:uiPriority w:val="61"/>
    <w:rsid w:val="00FC693F"/>
    <w:pPr>
      <w:spacing w:after="0" w:line="240" w:lineRule="auto"/>
    </w:p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0" w:after="0" w:line="240" w:lineRule="auto"/>
      </w:pPr>
      <w:rPr>
        <w:b/>
        <w:bCs/>
        <w:color w:val="FFFFFF" w:themeColor="background1"/>
      </w:rPr>
      <w:tblPr/>
      <w:tcPr>
        <w:shd w:val="clear" w:color="auto" w:fill="156082" w:themeFill="accent1"/>
      </w:tcPr>
    </w:tblStylePr>
    <w:tblStylePr w:type="lastRow">
      <w:pPr>
        <w:spacing w:before="0" w:after="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staClara-nfase2">
    <w:name w:val="Light List Accent 2"/>
    <w:basedOn w:val="Tabelanormal"/>
    <w:uiPriority w:val="61"/>
    <w:rsid w:val="00CB0664"/>
    <w:pPr>
      <w:spacing w:after="0" w:line="240" w:lineRule="auto"/>
    </w:p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tblBorders>
    </w:tblPr>
    <w:tblStylePr w:type="firstRow">
      <w:pPr>
        <w:spacing w:before="0" w:after="0" w:line="240" w:lineRule="auto"/>
      </w:pPr>
      <w:rPr>
        <w:b/>
        <w:bCs/>
        <w:color w:val="FFFFFF" w:themeColor="background1"/>
      </w:rPr>
      <w:tblPr/>
      <w:tcPr>
        <w:shd w:val="clear" w:color="auto" w:fill="E97132" w:themeFill="accent2"/>
      </w:tcPr>
    </w:tblStylePr>
    <w:tblStylePr w:type="lastRow">
      <w:pPr>
        <w:spacing w:before="0" w:after="0" w:line="240" w:lineRule="auto"/>
      </w:pPr>
      <w:rPr>
        <w:b/>
        <w:bCs/>
      </w:rPr>
      <w:tblPr/>
      <w:tcPr>
        <w:tcBorders>
          <w:top w:val="double" w:sz="6" w:space="0" w:color="E97132" w:themeColor="accent2"/>
          <w:left w:val="single" w:sz="8" w:space="0" w:color="E97132" w:themeColor="accent2"/>
          <w:bottom w:val="single" w:sz="8" w:space="0" w:color="E97132" w:themeColor="accent2"/>
          <w:right w:val="single" w:sz="8" w:space="0" w:color="E97132" w:themeColor="accent2"/>
        </w:tcBorders>
      </w:tcPr>
    </w:tblStylePr>
    <w:tblStylePr w:type="firstCol">
      <w:rPr>
        <w:b/>
        <w:bCs/>
      </w:rPr>
    </w:tblStylePr>
    <w:tblStylePr w:type="lastCol">
      <w:rPr>
        <w:b/>
        <w:bCs/>
      </w:rPr>
    </w:tblStylePr>
    <w:tblStylePr w:type="band1Vert">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tblStylePr w:type="band1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style>
  <w:style w:type="table" w:styleId="ListaClara-nfase3">
    <w:name w:val="Light List Accent 3"/>
    <w:basedOn w:val="Tabelanormal"/>
    <w:uiPriority w:val="61"/>
    <w:rsid w:val="00CB0664"/>
    <w:pPr>
      <w:spacing w:after="0" w:line="240" w:lineRule="auto"/>
    </w:p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tblBorders>
    </w:tblPr>
    <w:tblStylePr w:type="firstRow">
      <w:pPr>
        <w:spacing w:before="0" w:after="0" w:line="240" w:lineRule="auto"/>
      </w:pPr>
      <w:rPr>
        <w:b/>
        <w:bCs/>
        <w:color w:val="FFFFFF" w:themeColor="background1"/>
      </w:rPr>
      <w:tblPr/>
      <w:tcPr>
        <w:shd w:val="clear" w:color="auto" w:fill="196B24" w:themeFill="accent3"/>
      </w:tcPr>
    </w:tblStylePr>
    <w:tblStylePr w:type="lastRow">
      <w:pPr>
        <w:spacing w:before="0" w:after="0" w:line="240" w:lineRule="auto"/>
      </w:pPr>
      <w:rPr>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tcBorders>
      </w:tcPr>
    </w:tblStylePr>
    <w:tblStylePr w:type="firstCol">
      <w:rPr>
        <w:b/>
        <w:bCs/>
      </w:rPr>
    </w:tblStylePr>
    <w:tblStylePr w:type="lastCol">
      <w:rPr>
        <w:b/>
        <w:bCs/>
      </w:r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style>
  <w:style w:type="table" w:styleId="ListaClara-nfase4">
    <w:name w:val="Light List Accent 4"/>
    <w:basedOn w:val="Tabelanormal"/>
    <w:uiPriority w:val="61"/>
    <w:rsid w:val="00CB0664"/>
    <w:pPr>
      <w:spacing w:after="0" w:line="240" w:lineRule="auto"/>
    </w:p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tblBorders>
    </w:tblPr>
    <w:tblStylePr w:type="firstRow">
      <w:pPr>
        <w:spacing w:before="0" w:after="0" w:line="240" w:lineRule="auto"/>
      </w:pPr>
      <w:rPr>
        <w:b/>
        <w:bCs/>
        <w:color w:val="FFFFFF" w:themeColor="background1"/>
      </w:rPr>
      <w:tblPr/>
      <w:tcPr>
        <w:shd w:val="clear" w:color="auto" w:fill="0F9ED5" w:themeFill="accent4"/>
      </w:tcPr>
    </w:tblStylePr>
    <w:tblStylePr w:type="lastRow">
      <w:pPr>
        <w:spacing w:before="0" w:after="0" w:line="240" w:lineRule="auto"/>
      </w:pPr>
      <w:rPr>
        <w:b/>
        <w:bCs/>
      </w:rPr>
      <w:tblPr/>
      <w:tcPr>
        <w:tcBorders>
          <w:top w:val="double" w:sz="6" w:space="0" w:color="0F9ED5" w:themeColor="accent4"/>
          <w:left w:val="single" w:sz="8" w:space="0" w:color="0F9ED5" w:themeColor="accent4"/>
          <w:bottom w:val="single" w:sz="8" w:space="0" w:color="0F9ED5" w:themeColor="accent4"/>
          <w:right w:val="single" w:sz="8" w:space="0" w:color="0F9ED5" w:themeColor="accent4"/>
        </w:tcBorders>
      </w:tcPr>
    </w:tblStylePr>
    <w:tblStylePr w:type="firstCol">
      <w:rPr>
        <w:b/>
        <w:bCs/>
      </w:rPr>
    </w:tblStylePr>
    <w:tblStylePr w:type="lastCol">
      <w:rPr>
        <w:b/>
        <w:bCs/>
      </w:rPr>
    </w:tblStylePr>
    <w:tblStylePr w:type="band1Vert">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tblStylePr w:type="band1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style>
  <w:style w:type="table" w:styleId="ListaClara-nfase5">
    <w:name w:val="Light List Accent 5"/>
    <w:basedOn w:val="Tabelanormal"/>
    <w:uiPriority w:val="61"/>
    <w:rsid w:val="00CB0664"/>
    <w:pPr>
      <w:spacing w:after="0" w:line="240" w:lineRule="auto"/>
    </w:p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tblBorders>
    </w:tblPr>
    <w:tblStylePr w:type="firstRow">
      <w:pPr>
        <w:spacing w:before="0" w:after="0" w:line="240" w:lineRule="auto"/>
      </w:pPr>
      <w:rPr>
        <w:b/>
        <w:bCs/>
        <w:color w:val="FFFFFF" w:themeColor="background1"/>
      </w:rPr>
      <w:tblPr/>
      <w:tcPr>
        <w:shd w:val="clear" w:color="auto" w:fill="A02B93" w:themeFill="accent5"/>
      </w:tcPr>
    </w:tblStylePr>
    <w:tblStylePr w:type="lastRow">
      <w:pPr>
        <w:spacing w:before="0" w:after="0" w:line="240" w:lineRule="auto"/>
      </w:pPr>
      <w:rPr>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tcBorders>
      </w:tcPr>
    </w:tblStylePr>
    <w:tblStylePr w:type="firstCol">
      <w:rPr>
        <w:b/>
        <w:bCs/>
      </w:rPr>
    </w:tblStylePr>
    <w:tblStylePr w:type="lastCol">
      <w:rPr>
        <w:b/>
        <w:bCs/>
      </w:r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style>
  <w:style w:type="table" w:styleId="ListaClara-nfase6">
    <w:name w:val="Light List Accent 6"/>
    <w:basedOn w:val="Tabelanormal"/>
    <w:uiPriority w:val="61"/>
    <w:rsid w:val="00CB0664"/>
    <w:pPr>
      <w:spacing w:after="0" w:line="240" w:lineRule="auto"/>
    </w:p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tblBorders>
    </w:tblPr>
    <w:tblStylePr w:type="firstRow">
      <w:pPr>
        <w:spacing w:before="0" w:after="0" w:line="240" w:lineRule="auto"/>
      </w:pPr>
      <w:rPr>
        <w:b/>
        <w:bCs/>
        <w:color w:val="FFFFFF" w:themeColor="background1"/>
      </w:rPr>
      <w:tblPr/>
      <w:tcPr>
        <w:shd w:val="clear" w:color="auto" w:fill="4EA72E" w:themeFill="accent6"/>
      </w:tcPr>
    </w:tblStylePr>
    <w:tblStylePr w:type="lastRow">
      <w:pPr>
        <w:spacing w:before="0" w:after="0" w:line="240" w:lineRule="auto"/>
      </w:pPr>
      <w:rPr>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tcBorders>
      </w:tcPr>
    </w:tblStylePr>
    <w:tblStylePr w:type="firstCol">
      <w:rPr>
        <w:b/>
        <w:bCs/>
      </w:rPr>
    </w:tblStylePr>
    <w:tblStylePr w:type="lastCol">
      <w:rPr>
        <w:b/>
        <w:bCs/>
      </w:r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style>
  <w:style w:type="table" w:styleId="GradeClara">
    <w:name w:val="Light Grid"/>
    <w:basedOn w:val="Tabe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GradeClara-nfase1">
    <w:name w:val="Light Grid Accent 1"/>
    <w:basedOn w:val="Tabelanormal"/>
    <w:uiPriority w:val="62"/>
    <w:rsid w:val="00CB0664"/>
    <w:pPr>
      <w:spacing w:after="0" w:line="240" w:lineRule="auto"/>
    </w:p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GradeClara-nfase2">
    <w:name w:val="Light Grid Accent 2"/>
    <w:basedOn w:val="Tabelanormal"/>
    <w:uiPriority w:val="62"/>
    <w:rsid w:val="00CB0664"/>
    <w:pPr>
      <w:spacing w:after="0" w:line="240" w:lineRule="auto"/>
    </w:p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insideH w:val="single" w:sz="8" w:space="0" w:color="E97132" w:themeColor="accent2"/>
        <w:insideV w:val="single" w:sz="8" w:space="0" w:color="E97132"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97132" w:themeColor="accent2"/>
          <w:left w:val="single" w:sz="8" w:space="0" w:color="E97132" w:themeColor="accent2"/>
          <w:bottom w:val="single" w:sz="18" w:space="0" w:color="E97132" w:themeColor="accent2"/>
          <w:right w:val="single" w:sz="8" w:space="0" w:color="E97132" w:themeColor="accent2"/>
          <w:insideH w:val="nil"/>
          <w:insideV w:val="single" w:sz="8" w:space="0" w:color="E97132"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97132" w:themeColor="accent2"/>
          <w:left w:val="single" w:sz="8" w:space="0" w:color="E97132" w:themeColor="accent2"/>
          <w:bottom w:val="single" w:sz="8" w:space="0" w:color="E97132" w:themeColor="accent2"/>
          <w:right w:val="single" w:sz="8" w:space="0" w:color="E97132" w:themeColor="accent2"/>
          <w:insideH w:val="nil"/>
          <w:insideV w:val="single" w:sz="8" w:space="0" w:color="E97132"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tblStylePr w:type="band1Vert">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shd w:val="clear" w:color="auto" w:fill="F9DBCC" w:themeFill="accent2" w:themeFillTint="3F"/>
      </w:tcPr>
    </w:tblStylePr>
    <w:tblStylePr w:type="band1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insideV w:val="single" w:sz="8" w:space="0" w:color="E97132" w:themeColor="accent2"/>
        </w:tcBorders>
        <w:shd w:val="clear" w:color="auto" w:fill="F9DBCC" w:themeFill="accent2" w:themeFillTint="3F"/>
      </w:tcPr>
    </w:tblStylePr>
    <w:tblStylePr w:type="band2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insideV w:val="single" w:sz="8" w:space="0" w:color="E97132" w:themeColor="accent2"/>
        </w:tcBorders>
      </w:tcPr>
    </w:tblStylePr>
  </w:style>
  <w:style w:type="table" w:styleId="GradeClara-nfase3">
    <w:name w:val="Light Grid Accent 3"/>
    <w:basedOn w:val="Tabelanormal"/>
    <w:uiPriority w:val="62"/>
    <w:rsid w:val="00CB0664"/>
    <w:pPr>
      <w:spacing w:after="0" w:line="240" w:lineRule="auto"/>
    </w:p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18" w:space="0" w:color="196B24" w:themeColor="accent3"/>
          <w:right w:val="single" w:sz="8" w:space="0" w:color="196B24" w:themeColor="accent3"/>
          <w:insideH w:val="nil"/>
          <w:insideV w:val="single" w:sz="8" w:space="0" w:color="196B24"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insideH w:val="nil"/>
          <w:insideV w:val="single" w:sz="8" w:space="0" w:color="196B24"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shd w:val="clear" w:color="auto" w:fill="B3EDBA" w:themeFill="accent3" w:themeFillTint="3F"/>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shd w:val="clear" w:color="auto" w:fill="B3EDBA" w:themeFill="accent3" w:themeFillTint="3F"/>
      </w:tcPr>
    </w:tblStylePr>
    <w:tblStylePr w:type="band2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tcPr>
    </w:tblStylePr>
  </w:style>
  <w:style w:type="table" w:styleId="GradeClara-nfase4">
    <w:name w:val="Light Grid Accent 4"/>
    <w:basedOn w:val="Tabelanormal"/>
    <w:uiPriority w:val="62"/>
    <w:rsid w:val="00CB0664"/>
    <w:pPr>
      <w:spacing w:after="0" w:line="240" w:lineRule="auto"/>
    </w:p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insideH w:val="single" w:sz="8" w:space="0" w:color="0F9ED5" w:themeColor="accent4"/>
        <w:insideV w:val="single" w:sz="8" w:space="0" w:color="0F9ED5"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9ED5" w:themeColor="accent4"/>
          <w:left w:val="single" w:sz="8" w:space="0" w:color="0F9ED5" w:themeColor="accent4"/>
          <w:bottom w:val="single" w:sz="18" w:space="0" w:color="0F9ED5" w:themeColor="accent4"/>
          <w:right w:val="single" w:sz="8" w:space="0" w:color="0F9ED5" w:themeColor="accent4"/>
          <w:insideH w:val="nil"/>
          <w:insideV w:val="single" w:sz="8" w:space="0" w:color="0F9ED5"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9ED5" w:themeColor="accent4"/>
          <w:left w:val="single" w:sz="8" w:space="0" w:color="0F9ED5" w:themeColor="accent4"/>
          <w:bottom w:val="single" w:sz="8" w:space="0" w:color="0F9ED5" w:themeColor="accent4"/>
          <w:right w:val="single" w:sz="8" w:space="0" w:color="0F9ED5" w:themeColor="accent4"/>
          <w:insideH w:val="nil"/>
          <w:insideV w:val="single" w:sz="8" w:space="0" w:color="0F9ED5"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tblStylePr w:type="band1Vert">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shd w:val="clear" w:color="auto" w:fill="BDE9FA" w:themeFill="accent4" w:themeFillTint="3F"/>
      </w:tcPr>
    </w:tblStylePr>
    <w:tblStylePr w:type="band1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insideV w:val="single" w:sz="8" w:space="0" w:color="0F9ED5" w:themeColor="accent4"/>
        </w:tcBorders>
        <w:shd w:val="clear" w:color="auto" w:fill="BDE9FA" w:themeFill="accent4" w:themeFillTint="3F"/>
      </w:tcPr>
    </w:tblStylePr>
    <w:tblStylePr w:type="band2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insideV w:val="single" w:sz="8" w:space="0" w:color="0F9ED5" w:themeColor="accent4"/>
        </w:tcBorders>
      </w:tcPr>
    </w:tblStylePr>
  </w:style>
  <w:style w:type="table" w:styleId="GradeClara-nfase5">
    <w:name w:val="Light Grid Accent 5"/>
    <w:basedOn w:val="Tabelanormal"/>
    <w:uiPriority w:val="62"/>
    <w:rsid w:val="00CB0664"/>
    <w:pPr>
      <w:spacing w:after="0" w:line="240" w:lineRule="auto"/>
    </w:p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18" w:space="0" w:color="A02B93" w:themeColor="accent5"/>
          <w:right w:val="single" w:sz="8" w:space="0" w:color="A02B93" w:themeColor="accent5"/>
          <w:insideH w:val="nil"/>
          <w:insideV w:val="single" w:sz="8" w:space="0" w:color="A02B93"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insideH w:val="nil"/>
          <w:insideV w:val="single" w:sz="8" w:space="0" w:color="A02B93"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shd w:val="clear" w:color="auto" w:fill="EFC3E9" w:themeFill="accent5" w:themeFillTint="3F"/>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shd w:val="clear" w:color="auto" w:fill="EFC3E9" w:themeFill="accent5" w:themeFillTint="3F"/>
      </w:tcPr>
    </w:tblStylePr>
    <w:tblStylePr w:type="band2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tcPr>
    </w:tblStylePr>
  </w:style>
  <w:style w:type="table" w:styleId="GradeClara-nfase6">
    <w:name w:val="Light Grid Accent 6"/>
    <w:basedOn w:val="Tabelanormal"/>
    <w:uiPriority w:val="62"/>
    <w:rsid w:val="00CB0664"/>
    <w:pPr>
      <w:spacing w:after="0" w:line="240" w:lineRule="auto"/>
    </w:p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18" w:space="0" w:color="4EA72E" w:themeColor="accent6"/>
          <w:right w:val="single" w:sz="8" w:space="0" w:color="4EA72E" w:themeColor="accent6"/>
          <w:insideH w:val="nil"/>
          <w:insideV w:val="single" w:sz="8" w:space="0" w:color="4EA72E"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insideH w:val="nil"/>
          <w:insideV w:val="single" w:sz="8" w:space="0" w:color="4EA72E"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shd w:val="clear" w:color="auto" w:fill="D0EFC5" w:themeFill="accent6" w:themeFillTint="3F"/>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shd w:val="clear" w:color="auto" w:fill="D0EFC5" w:themeFill="accent6" w:themeFillTint="3F"/>
      </w:tcPr>
    </w:tblStylePr>
    <w:tblStylePr w:type="band2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tcPr>
    </w:tblStylePr>
  </w:style>
  <w:style w:type="table" w:styleId="SombreamentoMdio1">
    <w:name w:val="Medium Shading 1"/>
    <w:basedOn w:val="Tabe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mentoMdio1-nfase1">
    <w:name w:val="Medium Shading 1 Accent 1"/>
    <w:basedOn w:val="Tabelanormal"/>
    <w:uiPriority w:val="63"/>
    <w:rsid w:val="00CB0664"/>
    <w:pPr>
      <w:spacing w:after="0" w:line="240" w:lineRule="auto"/>
    </w:pPr>
    <w:tblPr>
      <w:tblStyleRowBandSize w:val="1"/>
      <w:tblStyleColBandSize w:val="1"/>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0" w:after="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0" w:after="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SombreamentoMdio1-nfase2">
    <w:name w:val="Medium Shading 1 Accent 2"/>
    <w:basedOn w:val="Tabelanormal"/>
    <w:uiPriority w:val="63"/>
    <w:rsid w:val="00CB0664"/>
    <w:pPr>
      <w:spacing w:after="0" w:line="240" w:lineRule="auto"/>
    </w:p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tblBorders>
    </w:tblPr>
    <w:tblStylePr w:type="firstRow">
      <w:pPr>
        <w:spacing w:before="0" w:after="0" w:line="240" w:lineRule="auto"/>
      </w:pPr>
      <w:rPr>
        <w:b/>
        <w:bCs/>
        <w:color w:val="FFFFFF" w:themeColor="background1"/>
      </w:rPr>
      <w:tblPr/>
      <w:tcPr>
        <w:tc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shd w:val="clear" w:color="auto" w:fill="E97132" w:themeFill="accent2"/>
      </w:tcPr>
    </w:tblStylePr>
    <w:tblStylePr w:type="lastRow">
      <w:pPr>
        <w:spacing w:before="0" w:after="0" w:line="240" w:lineRule="auto"/>
      </w:pPr>
      <w:rPr>
        <w:b/>
        <w:bCs/>
      </w:rPr>
      <w:tblPr/>
      <w:tcPr>
        <w:tcBorders>
          <w:top w:val="double" w:sz="6"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tcPr>
    </w:tblStylePr>
    <w:tblStylePr w:type="firstCol">
      <w:rPr>
        <w:b/>
        <w:bCs/>
      </w:rPr>
    </w:tblStylePr>
    <w:tblStylePr w:type="lastCol">
      <w:rPr>
        <w:b/>
        <w:bCs/>
      </w:rPr>
    </w:tblStylePr>
    <w:tblStylePr w:type="band1Vert">
      <w:tblPr/>
      <w:tcPr>
        <w:shd w:val="clear" w:color="auto" w:fill="F9DBCC" w:themeFill="accent2" w:themeFillTint="3F"/>
      </w:tcPr>
    </w:tblStylePr>
    <w:tblStylePr w:type="band1Horz">
      <w:tblPr/>
      <w:tcPr>
        <w:tcBorders>
          <w:insideH w:val="nil"/>
          <w:insideV w:val="nil"/>
        </w:tcBorders>
        <w:shd w:val="clear" w:color="auto" w:fill="F9DBCC" w:themeFill="accent2" w:themeFillTint="3F"/>
      </w:tcPr>
    </w:tblStylePr>
    <w:tblStylePr w:type="band2Horz">
      <w:tblPr/>
      <w:tcPr>
        <w:tcBorders>
          <w:insideH w:val="nil"/>
          <w:insideV w:val="nil"/>
        </w:tcBorders>
      </w:tcPr>
    </w:tblStylePr>
  </w:style>
  <w:style w:type="table" w:styleId="SombreamentoMdio1-nfase3">
    <w:name w:val="Medium Shading 1 Accent 3"/>
    <w:basedOn w:val="Tabelanormal"/>
    <w:uiPriority w:val="63"/>
    <w:rsid w:val="00CB0664"/>
    <w:pPr>
      <w:spacing w:after="0" w:line="240" w:lineRule="auto"/>
    </w:p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tblBorders>
    </w:tblPr>
    <w:tblStylePr w:type="firstRow">
      <w:pPr>
        <w:spacing w:before="0" w:after="0" w:line="240" w:lineRule="auto"/>
      </w:pPr>
      <w:rPr>
        <w:b/>
        <w:bCs/>
        <w:color w:val="FFFFFF" w:themeColor="background1"/>
      </w:rPr>
      <w:tblPr/>
      <w:tcPr>
        <w:tc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nil"/>
          <w:insideV w:val="nil"/>
        </w:tcBorders>
        <w:shd w:val="clear" w:color="auto" w:fill="196B24" w:themeFill="accent3"/>
      </w:tcPr>
    </w:tblStylePr>
    <w:tblStylePr w:type="lastRow">
      <w:pPr>
        <w:spacing w:before="0" w:after="0" w:line="240" w:lineRule="auto"/>
      </w:pPr>
      <w:rPr>
        <w:b/>
        <w:bCs/>
      </w:rPr>
      <w:tblPr/>
      <w:tcPr>
        <w:tcBorders>
          <w:top w:val="double" w:sz="6"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nil"/>
          <w:insideV w:val="nil"/>
        </w:tcBorders>
      </w:tcPr>
    </w:tblStylePr>
    <w:tblStylePr w:type="firstCol">
      <w:rPr>
        <w:b/>
        <w:bCs/>
      </w:rPr>
    </w:tblStylePr>
    <w:tblStylePr w:type="lastCol">
      <w:rPr>
        <w:b/>
        <w:bCs/>
      </w:rPr>
    </w:tblStylePr>
    <w:tblStylePr w:type="band1Vert">
      <w:tblPr/>
      <w:tcPr>
        <w:shd w:val="clear" w:color="auto" w:fill="B3EDBA" w:themeFill="accent3" w:themeFillTint="3F"/>
      </w:tcPr>
    </w:tblStylePr>
    <w:tblStylePr w:type="band1Horz">
      <w:tblPr/>
      <w:tcPr>
        <w:tcBorders>
          <w:insideH w:val="nil"/>
          <w:insideV w:val="nil"/>
        </w:tcBorders>
        <w:shd w:val="clear" w:color="auto" w:fill="B3EDBA" w:themeFill="accent3" w:themeFillTint="3F"/>
      </w:tcPr>
    </w:tblStylePr>
    <w:tblStylePr w:type="band2Horz">
      <w:tblPr/>
      <w:tcPr>
        <w:tcBorders>
          <w:insideH w:val="nil"/>
          <w:insideV w:val="nil"/>
        </w:tcBorders>
      </w:tcPr>
    </w:tblStylePr>
  </w:style>
  <w:style w:type="table" w:styleId="SombreamentoMdio1-nfase4">
    <w:name w:val="Medium Shading 1 Accent 4"/>
    <w:basedOn w:val="Tabelanormal"/>
    <w:uiPriority w:val="63"/>
    <w:rsid w:val="00CB0664"/>
    <w:pPr>
      <w:spacing w:after="0" w:line="240" w:lineRule="auto"/>
    </w:pPr>
    <w:tblPr>
      <w:tblStyleRowBandSize w:val="1"/>
      <w:tblStyleColBandSize w:val="1"/>
      <w:tbl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single" w:sz="8" w:space="0" w:color="39BEF1" w:themeColor="accent4" w:themeTint="BF"/>
      </w:tblBorders>
    </w:tblPr>
    <w:tblStylePr w:type="firstRow">
      <w:pPr>
        <w:spacing w:before="0" w:after="0" w:line="240" w:lineRule="auto"/>
      </w:pPr>
      <w:rPr>
        <w:b/>
        <w:bCs/>
        <w:color w:val="FFFFFF" w:themeColor="background1"/>
      </w:rPr>
      <w:tblPr/>
      <w:tcPr>
        <w:tc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nil"/>
          <w:insideV w:val="nil"/>
        </w:tcBorders>
        <w:shd w:val="clear" w:color="auto" w:fill="0F9ED5" w:themeFill="accent4"/>
      </w:tcPr>
    </w:tblStylePr>
    <w:tblStylePr w:type="lastRow">
      <w:pPr>
        <w:spacing w:before="0" w:after="0" w:line="240" w:lineRule="auto"/>
      </w:pPr>
      <w:rPr>
        <w:b/>
        <w:bCs/>
      </w:rPr>
      <w:tblPr/>
      <w:tcPr>
        <w:tcBorders>
          <w:top w:val="double" w:sz="6"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nil"/>
          <w:insideV w:val="nil"/>
        </w:tcBorders>
      </w:tcPr>
    </w:tblStylePr>
    <w:tblStylePr w:type="firstCol">
      <w:rPr>
        <w:b/>
        <w:bCs/>
      </w:rPr>
    </w:tblStylePr>
    <w:tblStylePr w:type="lastCol">
      <w:rPr>
        <w:b/>
        <w:bCs/>
      </w:rPr>
    </w:tblStylePr>
    <w:tblStylePr w:type="band1Vert">
      <w:tblPr/>
      <w:tcPr>
        <w:shd w:val="clear" w:color="auto" w:fill="BDE9FA" w:themeFill="accent4" w:themeFillTint="3F"/>
      </w:tcPr>
    </w:tblStylePr>
    <w:tblStylePr w:type="band1Horz">
      <w:tblPr/>
      <w:tcPr>
        <w:tcBorders>
          <w:insideH w:val="nil"/>
          <w:insideV w:val="nil"/>
        </w:tcBorders>
        <w:shd w:val="clear" w:color="auto" w:fill="BDE9FA" w:themeFill="accent4" w:themeFillTint="3F"/>
      </w:tcPr>
    </w:tblStylePr>
    <w:tblStylePr w:type="band2Horz">
      <w:tblPr/>
      <w:tcPr>
        <w:tcBorders>
          <w:insideH w:val="nil"/>
          <w:insideV w:val="nil"/>
        </w:tcBorders>
      </w:tcPr>
    </w:tblStylePr>
  </w:style>
  <w:style w:type="table" w:styleId="SombreamentoMdio1-nfase5">
    <w:name w:val="Medium Shading 1 Accent 5"/>
    <w:basedOn w:val="Tabelanormal"/>
    <w:uiPriority w:val="63"/>
    <w:rsid w:val="00CB0664"/>
    <w:pPr>
      <w:spacing w:after="0" w:line="240" w:lineRule="auto"/>
    </w:pPr>
    <w:tblPr>
      <w:tblStyleRowBandSize w:val="1"/>
      <w:tblStyleColBandSize w:val="1"/>
      <w:tbl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single" w:sz="8" w:space="0" w:color="CE49BF" w:themeColor="accent5" w:themeTint="BF"/>
      </w:tblBorders>
    </w:tblPr>
    <w:tblStylePr w:type="firstRow">
      <w:pPr>
        <w:spacing w:before="0" w:after="0" w:line="240" w:lineRule="auto"/>
      </w:pPr>
      <w:rPr>
        <w:b/>
        <w:bCs/>
        <w:color w:val="FFFFFF" w:themeColor="background1"/>
      </w:rPr>
      <w:tblPr/>
      <w:tcPr>
        <w:tc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nil"/>
          <w:insideV w:val="nil"/>
        </w:tcBorders>
        <w:shd w:val="clear" w:color="auto" w:fill="A02B93" w:themeFill="accent5"/>
      </w:tcPr>
    </w:tblStylePr>
    <w:tblStylePr w:type="lastRow">
      <w:pPr>
        <w:spacing w:before="0" w:after="0" w:line="240" w:lineRule="auto"/>
      </w:pPr>
      <w:rPr>
        <w:b/>
        <w:bCs/>
      </w:rPr>
      <w:tblPr/>
      <w:tcPr>
        <w:tcBorders>
          <w:top w:val="double" w:sz="6"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FC3E9" w:themeFill="accent5" w:themeFillTint="3F"/>
      </w:tcPr>
    </w:tblStylePr>
    <w:tblStylePr w:type="band1Horz">
      <w:tblPr/>
      <w:tcPr>
        <w:tcBorders>
          <w:insideH w:val="nil"/>
          <w:insideV w:val="nil"/>
        </w:tcBorders>
        <w:shd w:val="clear" w:color="auto" w:fill="EFC3E9" w:themeFill="accent5" w:themeFillTint="3F"/>
      </w:tcPr>
    </w:tblStylePr>
    <w:tblStylePr w:type="band2Horz">
      <w:tblPr/>
      <w:tcPr>
        <w:tcBorders>
          <w:insideH w:val="nil"/>
          <w:insideV w:val="nil"/>
        </w:tcBorders>
      </w:tcPr>
    </w:tblStylePr>
  </w:style>
  <w:style w:type="table" w:styleId="SombreamentoMdio1-nfase6">
    <w:name w:val="Medium Shading 1 Accent 6"/>
    <w:basedOn w:val="Tabelanormal"/>
    <w:uiPriority w:val="63"/>
    <w:rsid w:val="00CB0664"/>
    <w:pPr>
      <w:spacing w:after="0" w:line="240" w:lineRule="auto"/>
    </w:pPr>
    <w:tblPr>
      <w:tblStyleRowBandSize w:val="1"/>
      <w:tblStyleColBandSize w:val="1"/>
      <w:tbl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single" w:sz="8" w:space="0" w:color="71CF50" w:themeColor="accent6" w:themeTint="BF"/>
      </w:tblBorders>
    </w:tblPr>
    <w:tblStylePr w:type="firstRow">
      <w:pPr>
        <w:spacing w:before="0" w:after="0" w:line="240" w:lineRule="auto"/>
      </w:pPr>
      <w:rPr>
        <w:b/>
        <w:bCs/>
        <w:color w:val="FFFFFF" w:themeColor="background1"/>
      </w:rPr>
      <w:tblPr/>
      <w:tcPr>
        <w:tc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nil"/>
          <w:insideV w:val="nil"/>
        </w:tcBorders>
        <w:shd w:val="clear" w:color="auto" w:fill="4EA72E" w:themeFill="accent6"/>
      </w:tcPr>
    </w:tblStylePr>
    <w:tblStylePr w:type="lastRow">
      <w:pPr>
        <w:spacing w:before="0" w:after="0" w:line="240" w:lineRule="auto"/>
      </w:pPr>
      <w:rPr>
        <w:b/>
        <w:bCs/>
      </w:rPr>
      <w:tblPr/>
      <w:tcPr>
        <w:tcBorders>
          <w:top w:val="double" w:sz="6"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nil"/>
          <w:insideV w:val="nil"/>
        </w:tcBorders>
      </w:tcPr>
    </w:tblStylePr>
    <w:tblStylePr w:type="firstCol">
      <w:rPr>
        <w:b/>
        <w:bCs/>
      </w:rPr>
    </w:tblStylePr>
    <w:tblStylePr w:type="lastCol">
      <w:rPr>
        <w:b/>
        <w:bCs/>
      </w:rPr>
    </w:tblStylePr>
    <w:tblStylePr w:type="band1Vert">
      <w:tblPr/>
      <w:tcPr>
        <w:shd w:val="clear" w:color="auto" w:fill="D0EFC5" w:themeFill="accent6" w:themeFillTint="3F"/>
      </w:tcPr>
    </w:tblStylePr>
    <w:tblStylePr w:type="band1Horz">
      <w:tblPr/>
      <w:tcPr>
        <w:tcBorders>
          <w:insideH w:val="nil"/>
          <w:insideV w:val="nil"/>
        </w:tcBorders>
        <w:shd w:val="clear" w:color="auto" w:fill="D0EFC5" w:themeFill="accent6" w:themeFillTint="3F"/>
      </w:tcPr>
    </w:tblStylePr>
    <w:tblStylePr w:type="band2Horz">
      <w:tblPr/>
      <w:tcPr>
        <w:tcBorders>
          <w:insideH w:val="nil"/>
          <w:insideV w:val="nil"/>
        </w:tcBorders>
      </w:tcPr>
    </w:tblStylePr>
  </w:style>
  <w:style w:type="table" w:styleId="SombreamentoMdio2">
    <w:name w:val="Medium Shading 2"/>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1">
    <w:name w:val="Medium Shading 2 Accent 1"/>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2">
    <w:name w:val="Medium Shading 2 Accent 2"/>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97132"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97132" w:themeFill="accent2"/>
      </w:tcPr>
    </w:tblStylePr>
    <w:tblStylePr w:type="lastCol">
      <w:rPr>
        <w:b/>
        <w:bCs/>
        <w:color w:val="FFFFFF" w:themeColor="background1"/>
      </w:rPr>
      <w:tblPr/>
      <w:tcPr>
        <w:tcBorders>
          <w:left w:val="nil"/>
          <w:right w:val="nil"/>
          <w:insideH w:val="nil"/>
          <w:insideV w:val="nil"/>
        </w:tcBorders>
        <w:shd w:val="clear" w:color="auto" w:fill="E97132"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3">
    <w:name w:val="Medium Shading 2 Accent 3"/>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96B24"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96B24" w:themeFill="accent3"/>
      </w:tcPr>
    </w:tblStylePr>
    <w:tblStylePr w:type="lastCol">
      <w:rPr>
        <w:b/>
        <w:bCs/>
        <w:color w:val="FFFFFF" w:themeColor="background1"/>
      </w:rPr>
      <w:tblPr/>
      <w:tcPr>
        <w:tcBorders>
          <w:left w:val="nil"/>
          <w:right w:val="nil"/>
          <w:insideH w:val="nil"/>
          <w:insideV w:val="nil"/>
        </w:tcBorders>
        <w:shd w:val="clear" w:color="auto" w:fill="196B24"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4">
    <w:name w:val="Medium Shading 2 Accent 4"/>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F9ED5"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F9ED5" w:themeFill="accent4"/>
      </w:tcPr>
    </w:tblStylePr>
    <w:tblStylePr w:type="lastCol">
      <w:rPr>
        <w:b/>
        <w:bCs/>
        <w:color w:val="FFFFFF" w:themeColor="background1"/>
      </w:rPr>
      <w:tblPr/>
      <w:tcPr>
        <w:tcBorders>
          <w:left w:val="nil"/>
          <w:right w:val="nil"/>
          <w:insideH w:val="nil"/>
          <w:insideV w:val="nil"/>
        </w:tcBorders>
        <w:shd w:val="clear" w:color="auto" w:fill="0F9ED5"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5">
    <w:name w:val="Medium Shading 2 Accent 5"/>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02B93"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02B93" w:themeFill="accent5"/>
      </w:tcPr>
    </w:tblStylePr>
    <w:tblStylePr w:type="lastCol">
      <w:rPr>
        <w:b/>
        <w:bCs/>
        <w:color w:val="FFFFFF" w:themeColor="background1"/>
      </w:rPr>
      <w:tblPr/>
      <w:tcPr>
        <w:tcBorders>
          <w:left w:val="nil"/>
          <w:right w:val="nil"/>
          <w:insideH w:val="nil"/>
          <w:insideV w:val="nil"/>
        </w:tcBorders>
        <w:shd w:val="clear" w:color="auto" w:fill="A02B93"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6">
    <w:name w:val="Medium Shading 2 Accent 6"/>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EA72E"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EA72E" w:themeFill="accent6"/>
      </w:tcPr>
    </w:tblStylePr>
    <w:tblStylePr w:type="lastCol">
      <w:rPr>
        <w:b/>
        <w:bCs/>
        <w:color w:val="FFFFFF" w:themeColor="background1"/>
      </w:rPr>
      <w:tblPr/>
      <w:tcPr>
        <w:tcBorders>
          <w:left w:val="nil"/>
          <w:right w:val="nil"/>
          <w:insideH w:val="nil"/>
          <w:insideV w:val="nil"/>
        </w:tcBorders>
        <w:shd w:val="clear" w:color="auto" w:fill="4EA72E"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dia1">
    <w:name w:val="Medium List 1"/>
    <w:basedOn w:val="Tabe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dia1-nfase1">
    <w:name w:val="Medium List 1 Accent 1"/>
    <w:basedOn w:val="Tabelanormal"/>
    <w:uiPriority w:val="65"/>
    <w:rsid w:val="00CB0664"/>
    <w:pPr>
      <w:spacing w:after="0" w:line="240" w:lineRule="auto"/>
    </w:pPr>
    <w:rPr>
      <w:color w:val="000000" w:themeColor="text1"/>
    </w:rPr>
    <w:tblPr>
      <w:tblStyleRowBandSize w:val="1"/>
      <w:tblStyleColBandSize w:val="1"/>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 w:type="table" w:styleId="ListaMdia1-nfase2">
    <w:name w:val="Medium List 1 Accent 2"/>
    <w:basedOn w:val="Tabelanormal"/>
    <w:uiPriority w:val="65"/>
    <w:rsid w:val="00CB0664"/>
    <w:pPr>
      <w:spacing w:after="0" w:line="240" w:lineRule="auto"/>
    </w:pPr>
    <w:rPr>
      <w:color w:val="000000" w:themeColor="text1"/>
    </w:rPr>
    <w:tblPr>
      <w:tblStyleRowBandSize w:val="1"/>
      <w:tblStyleColBandSize w:val="1"/>
      <w:tblBorders>
        <w:top w:val="single" w:sz="8" w:space="0" w:color="E97132" w:themeColor="accent2"/>
        <w:bottom w:val="single" w:sz="8" w:space="0" w:color="E97132" w:themeColor="accent2"/>
      </w:tblBorders>
    </w:tblPr>
    <w:tblStylePr w:type="firstRow">
      <w:rPr>
        <w:rFonts w:asciiTheme="majorHAnsi" w:eastAsiaTheme="majorEastAsia" w:hAnsiTheme="majorHAnsi" w:cstheme="majorBidi"/>
      </w:rPr>
      <w:tblPr/>
      <w:tcPr>
        <w:tcBorders>
          <w:top w:val="nil"/>
          <w:bottom w:val="single" w:sz="8" w:space="0" w:color="E97132" w:themeColor="accent2"/>
        </w:tcBorders>
      </w:tcPr>
    </w:tblStylePr>
    <w:tblStylePr w:type="lastRow">
      <w:rPr>
        <w:b/>
        <w:bCs/>
        <w:color w:val="0E2841" w:themeColor="text2"/>
      </w:rPr>
      <w:tblPr/>
      <w:tcPr>
        <w:tcBorders>
          <w:top w:val="single" w:sz="8" w:space="0" w:color="E97132" w:themeColor="accent2"/>
          <w:bottom w:val="single" w:sz="8" w:space="0" w:color="E97132" w:themeColor="accent2"/>
        </w:tcBorders>
      </w:tcPr>
    </w:tblStylePr>
    <w:tblStylePr w:type="firstCol">
      <w:rPr>
        <w:b/>
        <w:bCs/>
      </w:rPr>
    </w:tblStylePr>
    <w:tblStylePr w:type="lastCol">
      <w:rPr>
        <w:b/>
        <w:bCs/>
      </w:rPr>
      <w:tblPr/>
      <w:tcPr>
        <w:tcBorders>
          <w:top w:val="single" w:sz="8" w:space="0" w:color="E97132" w:themeColor="accent2"/>
          <w:bottom w:val="single" w:sz="8" w:space="0" w:color="E97132" w:themeColor="accent2"/>
        </w:tcBorders>
      </w:tcPr>
    </w:tblStylePr>
    <w:tblStylePr w:type="band1Vert">
      <w:tblPr/>
      <w:tcPr>
        <w:shd w:val="clear" w:color="auto" w:fill="F9DBCC" w:themeFill="accent2" w:themeFillTint="3F"/>
      </w:tcPr>
    </w:tblStylePr>
    <w:tblStylePr w:type="band1Horz">
      <w:tblPr/>
      <w:tcPr>
        <w:shd w:val="clear" w:color="auto" w:fill="F9DBCC" w:themeFill="accent2" w:themeFillTint="3F"/>
      </w:tcPr>
    </w:tblStylePr>
  </w:style>
  <w:style w:type="table" w:styleId="ListaMdia1-nfase3">
    <w:name w:val="Medium List 1 Accent 3"/>
    <w:basedOn w:val="Tabelanormal"/>
    <w:uiPriority w:val="65"/>
    <w:rsid w:val="00CB0664"/>
    <w:pPr>
      <w:spacing w:after="0" w:line="240" w:lineRule="auto"/>
    </w:pPr>
    <w:rPr>
      <w:color w:val="000000" w:themeColor="text1"/>
    </w:rPr>
    <w:tblPr>
      <w:tblStyleRowBandSize w:val="1"/>
      <w:tblStyleColBandSize w:val="1"/>
      <w:tblBorders>
        <w:top w:val="single" w:sz="8" w:space="0" w:color="196B24" w:themeColor="accent3"/>
        <w:bottom w:val="single" w:sz="8" w:space="0" w:color="196B24" w:themeColor="accent3"/>
      </w:tblBorders>
    </w:tblPr>
    <w:tblStylePr w:type="firstRow">
      <w:rPr>
        <w:rFonts w:asciiTheme="majorHAnsi" w:eastAsiaTheme="majorEastAsia" w:hAnsiTheme="majorHAnsi" w:cstheme="majorBidi"/>
      </w:rPr>
      <w:tblPr/>
      <w:tcPr>
        <w:tcBorders>
          <w:top w:val="nil"/>
          <w:bottom w:val="single" w:sz="8" w:space="0" w:color="196B24" w:themeColor="accent3"/>
        </w:tcBorders>
      </w:tcPr>
    </w:tblStylePr>
    <w:tblStylePr w:type="lastRow">
      <w:rPr>
        <w:b/>
        <w:bCs/>
        <w:color w:val="0E2841" w:themeColor="text2"/>
      </w:rPr>
      <w:tblPr/>
      <w:tcPr>
        <w:tcBorders>
          <w:top w:val="single" w:sz="8" w:space="0" w:color="196B24" w:themeColor="accent3"/>
          <w:bottom w:val="single" w:sz="8" w:space="0" w:color="196B24" w:themeColor="accent3"/>
        </w:tcBorders>
      </w:tcPr>
    </w:tblStylePr>
    <w:tblStylePr w:type="firstCol">
      <w:rPr>
        <w:b/>
        <w:bCs/>
      </w:rPr>
    </w:tblStylePr>
    <w:tblStylePr w:type="lastCol">
      <w:rPr>
        <w:b/>
        <w:bCs/>
      </w:rPr>
      <w:tblPr/>
      <w:tcPr>
        <w:tcBorders>
          <w:top w:val="single" w:sz="8" w:space="0" w:color="196B24" w:themeColor="accent3"/>
          <w:bottom w:val="single" w:sz="8" w:space="0" w:color="196B24" w:themeColor="accent3"/>
        </w:tcBorders>
      </w:tcPr>
    </w:tblStylePr>
    <w:tblStylePr w:type="band1Vert">
      <w:tblPr/>
      <w:tcPr>
        <w:shd w:val="clear" w:color="auto" w:fill="B3EDBA" w:themeFill="accent3" w:themeFillTint="3F"/>
      </w:tcPr>
    </w:tblStylePr>
    <w:tblStylePr w:type="band1Horz">
      <w:tblPr/>
      <w:tcPr>
        <w:shd w:val="clear" w:color="auto" w:fill="B3EDBA" w:themeFill="accent3" w:themeFillTint="3F"/>
      </w:tcPr>
    </w:tblStylePr>
  </w:style>
  <w:style w:type="table" w:styleId="ListaMdia1-nfase4">
    <w:name w:val="Medium List 1 Accent 4"/>
    <w:basedOn w:val="Tabelanormal"/>
    <w:uiPriority w:val="65"/>
    <w:rsid w:val="00CB0664"/>
    <w:pPr>
      <w:spacing w:after="0" w:line="240" w:lineRule="auto"/>
    </w:pPr>
    <w:rPr>
      <w:color w:val="000000" w:themeColor="text1"/>
    </w:rPr>
    <w:tblPr>
      <w:tblStyleRowBandSize w:val="1"/>
      <w:tblStyleColBandSize w:val="1"/>
      <w:tblBorders>
        <w:top w:val="single" w:sz="8" w:space="0" w:color="0F9ED5" w:themeColor="accent4"/>
        <w:bottom w:val="single" w:sz="8" w:space="0" w:color="0F9ED5" w:themeColor="accent4"/>
      </w:tblBorders>
    </w:tblPr>
    <w:tblStylePr w:type="firstRow">
      <w:rPr>
        <w:rFonts w:asciiTheme="majorHAnsi" w:eastAsiaTheme="majorEastAsia" w:hAnsiTheme="majorHAnsi" w:cstheme="majorBidi"/>
      </w:rPr>
      <w:tblPr/>
      <w:tcPr>
        <w:tcBorders>
          <w:top w:val="nil"/>
          <w:bottom w:val="single" w:sz="8" w:space="0" w:color="0F9ED5" w:themeColor="accent4"/>
        </w:tcBorders>
      </w:tcPr>
    </w:tblStylePr>
    <w:tblStylePr w:type="lastRow">
      <w:rPr>
        <w:b/>
        <w:bCs/>
        <w:color w:val="0E2841" w:themeColor="text2"/>
      </w:rPr>
      <w:tblPr/>
      <w:tcPr>
        <w:tcBorders>
          <w:top w:val="single" w:sz="8" w:space="0" w:color="0F9ED5" w:themeColor="accent4"/>
          <w:bottom w:val="single" w:sz="8" w:space="0" w:color="0F9ED5" w:themeColor="accent4"/>
        </w:tcBorders>
      </w:tcPr>
    </w:tblStylePr>
    <w:tblStylePr w:type="firstCol">
      <w:rPr>
        <w:b/>
        <w:bCs/>
      </w:rPr>
    </w:tblStylePr>
    <w:tblStylePr w:type="lastCol">
      <w:rPr>
        <w:b/>
        <w:bCs/>
      </w:rPr>
      <w:tblPr/>
      <w:tcPr>
        <w:tcBorders>
          <w:top w:val="single" w:sz="8" w:space="0" w:color="0F9ED5" w:themeColor="accent4"/>
          <w:bottom w:val="single" w:sz="8" w:space="0" w:color="0F9ED5" w:themeColor="accent4"/>
        </w:tcBorders>
      </w:tcPr>
    </w:tblStylePr>
    <w:tblStylePr w:type="band1Vert">
      <w:tblPr/>
      <w:tcPr>
        <w:shd w:val="clear" w:color="auto" w:fill="BDE9FA" w:themeFill="accent4" w:themeFillTint="3F"/>
      </w:tcPr>
    </w:tblStylePr>
    <w:tblStylePr w:type="band1Horz">
      <w:tblPr/>
      <w:tcPr>
        <w:shd w:val="clear" w:color="auto" w:fill="BDE9FA" w:themeFill="accent4" w:themeFillTint="3F"/>
      </w:tcPr>
    </w:tblStylePr>
  </w:style>
  <w:style w:type="table" w:styleId="ListaMdia1-nfase5">
    <w:name w:val="Medium List 1 Accent 5"/>
    <w:basedOn w:val="Tabelanormal"/>
    <w:uiPriority w:val="65"/>
    <w:rsid w:val="00CB0664"/>
    <w:pPr>
      <w:spacing w:after="0" w:line="240" w:lineRule="auto"/>
    </w:pPr>
    <w:rPr>
      <w:color w:val="000000" w:themeColor="text1"/>
    </w:rPr>
    <w:tblPr>
      <w:tblStyleRowBandSize w:val="1"/>
      <w:tblStyleColBandSize w:val="1"/>
      <w:tblBorders>
        <w:top w:val="single" w:sz="8" w:space="0" w:color="A02B93" w:themeColor="accent5"/>
        <w:bottom w:val="single" w:sz="8" w:space="0" w:color="A02B93" w:themeColor="accent5"/>
      </w:tblBorders>
    </w:tblPr>
    <w:tblStylePr w:type="firstRow">
      <w:rPr>
        <w:rFonts w:asciiTheme="majorHAnsi" w:eastAsiaTheme="majorEastAsia" w:hAnsiTheme="majorHAnsi" w:cstheme="majorBidi"/>
      </w:rPr>
      <w:tblPr/>
      <w:tcPr>
        <w:tcBorders>
          <w:top w:val="nil"/>
          <w:bottom w:val="single" w:sz="8" w:space="0" w:color="A02B93" w:themeColor="accent5"/>
        </w:tcBorders>
      </w:tcPr>
    </w:tblStylePr>
    <w:tblStylePr w:type="lastRow">
      <w:rPr>
        <w:b/>
        <w:bCs/>
        <w:color w:val="0E2841" w:themeColor="text2"/>
      </w:rPr>
      <w:tblPr/>
      <w:tcPr>
        <w:tcBorders>
          <w:top w:val="single" w:sz="8" w:space="0" w:color="A02B93" w:themeColor="accent5"/>
          <w:bottom w:val="single" w:sz="8" w:space="0" w:color="A02B93" w:themeColor="accent5"/>
        </w:tcBorders>
      </w:tcPr>
    </w:tblStylePr>
    <w:tblStylePr w:type="firstCol">
      <w:rPr>
        <w:b/>
        <w:bCs/>
      </w:rPr>
    </w:tblStylePr>
    <w:tblStylePr w:type="lastCol">
      <w:rPr>
        <w:b/>
        <w:bCs/>
      </w:rPr>
      <w:tblPr/>
      <w:tcPr>
        <w:tcBorders>
          <w:top w:val="single" w:sz="8" w:space="0" w:color="A02B93" w:themeColor="accent5"/>
          <w:bottom w:val="single" w:sz="8" w:space="0" w:color="A02B93" w:themeColor="accent5"/>
        </w:tcBorders>
      </w:tcPr>
    </w:tblStylePr>
    <w:tblStylePr w:type="band1Vert">
      <w:tblPr/>
      <w:tcPr>
        <w:shd w:val="clear" w:color="auto" w:fill="EFC3E9" w:themeFill="accent5" w:themeFillTint="3F"/>
      </w:tcPr>
    </w:tblStylePr>
    <w:tblStylePr w:type="band1Horz">
      <w:tblPr/>
      <w:tcPr>
        <w:shd w:val="clear" w:color="auto" w:fill="EFC3E9" w:themeFill="accent5" w:themeFillTint="3F"/>
      </w:tcPr>
    </w:tblStylePr>
  </w:style>
  <w:style w:type="table" w:styleId="ListaMdia1-nfase6">
    <w:name w:val="Medium List 1 Accent 6"/>
    <w:basedOn w:val="Tabelanormal"/>
    <w:uiPriority w:val="65"/>
    <w:rsid w:val="00CB0664"/>
    <w:pPr>
      <w:spacing w:after="0" w:line="240" w:lineRule="auto"/>
    </w:pPr>
    <w:rPr>
      <w:color w:val="000000" w:themeColor="text1"/>
    </w:rPr>
    <w:tblPr>
      <w:tblStyleRowBandSize w:val="1"/>
      <w:tblStyleColBandSize w:val="1"/>
      <w:tblBorders>
        <w:top w:val="single" w:sz="8" w:space="0" w:color="4EA72E" w:themeColor="accent6"/>
        <w:bottom w:val="single" w:sz="8" w:space="0" w:color="4EA72E" w:themeColor="accent6"/>
      </w:tblBorders>
    </w:tblPr>
    <w:tblStylePr w:type="firstRow">
      <w:rPr>
        <w:rFonts w:asciiTheme="majorHAnsi" w:eastAsiaTheme="majorEastAsia" w:hAnsiTheme="majorHAnsi" w:cstheme="majorBidi"/>
      </w:rPr>
      <w:tblPr/>
      <w:tcPr>
        <w:tcBorders>
          <w:top w:val="nil"/>
          <w:bottom w:val="single" w:sz="8" w:space="0" w:color="4EA72E" w:themeColor="accent6"/>
        </w:tcBorders>
      </w:tcPr>
    </w:tblStylePr>
    <w:tblStylePr w:type="lastRow">
      <w:rPr>
        <w:b/>
        <w:bCs/>
        <w:color w:val="0E2841" w:themeColor="text2"/>
      </w:rPr>
      <w:tblPr/>
      <w:tcPr>
        <w:tcBorders>
          <w:top w:val="single" w:sz="8" w:space="0" w:color="4EA72E" w:themeColor="accent6"/>
          <w:bottom w:val="single" w:sz="8" w:space="0" w:color="4EA72E" w:themeColor="accent6"/>
        </w:tcBorders>
      </w:tcPr>
    </w:tblStylePr>
    <w:tblStylePr w:type="firstCol">
      <w:rPr>
        <w:b/>
        <w:bCs/>
      </w:rPr>
    </w:tblStylePr>
    <w:tblStylePr w:type="lastCol">
      <w:rPr>
        <w:b/>
        <w:bCs/>
      </w:rPr>
      <w:tblPr/>
      <w:tcPr>
        <w:tcBorders>
          <w:top w:val="single" w:sz="8" w:space="0" w:color="4EA72E" w:themeColor="accent6"/>
          <w:bottom w:val="single" w:sz="8" w:space="0" w:color="4EA72E" w:themeColor="accent6"/>
        </w:tcBorders>
      </w:tcPr>
    </w:tblStylePr>
    <w:tblStylePr w:type="band1Vert">
      <w:tblPr/>
      <w:tcPr>
        <w:shd w:val="clear" w:color="auto" w:fill="D0EFC5" w:themeFill="accent6" w:themeFillTint="3F"/>
      </w:tcPr>
    </w:tblStylePr>
    <w:tblStylePr w:type="band1Horz">
      <w:tblPr/>
      <w:tcPr>
        <w:shd w:val="clear" w:color="auto" w:fill="D0EFC5" w:themeFill="accent6" w:themeFillTint="3F"/>
      </w:tcPr>
    </w:tblStylePr>
  </w:style>
  <w:style w:type="table" w:styleId="ListaMdia2">
    <w:name w:val="Medium List 2"/>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1">
    <w:name w:val="Medium List 2 Accent 1"/>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rPr>
        <w:sz w:val="24"/>
        <w:szCs w:val="24"/>
      </w:rPr>
      <w:tblPr/>
      <w:tcPr>
        <w:tcBorders>
          <w:top w:val="nil"/>
          <w:left w:val="nil"/>
          <w:bottom w:val="single" w:sz="24" w:space="0" w:color="156082" w:themeColor="accent1"/>
          <w:right w:val="nil"/>
          <w:insideH w:val="nil"/>
          <w:insideV w:val="nil"/>
        </w:tcBorders>
        <w:shd w:val="clear" w:color="auto" w:fill="FFFFFF" w:themeFill="background1"/>
      </w:tcPr>
    </w:tblStylePr>
    <w:tblStylePr w:type="lastRow">
      <w:tblPr/>
      <w:tcPr>
        <w:tcBorders>
          <w:top w:val="single" w:sz="8" w:space="0" w:color="15608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56082" w:themeColor="accent1"/>
          <w:insideH w:val="nil"/>
          <w:insideV w:val="nil"/>
        </w:tcBorders>
        <w:shd w:val="clear" w:color="auto" w:fill="FFFFFF" w:themeFill="background1"/>
      </w:tcPr>
    </w:tblStylePr>
    <w:tblStylePr w:type="lastCol">
      <w:tblPr/>
      <w:tcPr>
        <w:tcBorders>
          <w:top w:val="nil"/>
          <w:left w:val="single" w:sz="8" w:space="0" w:color="15608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top w:val="nil"/>
          <w:bottom w:val="nil"/>
          <w:insideH w:val="nil"/>
          <w:insideV w:val="nil"/>
        </w:tcBorders>
        <w:shd w:val="clear" w:color="auto" w:fill="B2DEF2"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2">
    <w:name w:val="Medium List 2 Accent 2"/>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tblBorders>
    </w:tblPr>
    <w:tblStylePr w:type="firstRow">
      <w:rPr>
        <w:sz w:val="24"/>
        <w:szCs w:val="24"/>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tblPr/>
      <w:tcPr>
        <w:tcBorders>
          <w:top w:val="single" w:sz="8" w:space="0" w:color="E97132"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97132" w:themeColor="accent2"/>
          <w:insideH w:val="nil"/>
          <w:insideV w:val="nil"/>
        </w:tcBorders>
        <w:shd w:val="clear" w:color="auto" w:fill="FFFFFF" w:themeFill="background1"/>
      </w:tcPr>
    </w:tblStylePr>
    <w:tblStylePr w:type="lastCol">
      <w:tblPr/>
      <w:tcPr>
        <w:tcBorders>
          <w:top w:val="nil"/>
          <w:left w:val="single" w:sz="8" w:space="0" w:color="E97132"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9DBCC" w:themeFill="accent2" w:themeFillTint="3F"/>
      </w:tcPr>
    </w:tblStylePr>
    <w:tblStylePr w:type="band1Horz">
      <w:tblPr/>
      <w:tcPr>
        <w:tcBorders>
          <w:top w:val="nil"/>
          <w:bottom w:val="nil"/>
          <w:insideH w:val="nil"/>
          <w:insideV w:val="nil"/>
        </w:tcBorders>
        <w:shd w:val="clear" w:color="auto" w:fill="F9DBCC"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3">
    <w:name w:val="Medium List 2 Accent 3"/>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tblBorders>
    </w:tblPr>
    <w:tblStylePr w:type="firstRow">
      <w:rPr>
        <w:sz w:val="24"/>
        <w:szCs w:val="24"/>
      </w:rPr>
      <w:tblPr/>
      <w:tcPr>
        <w:tcBorders>
          <w:top w:val="nil"/>
          <w:left w:val="nil"/>
          <w:bottom w:val="single" w:sz="24" w:space="0" w:color="196B24" w:themeColor="accent3"/>
          <w:right w:val="nil"/>
          <w:insideH w:val="nil"/>
          <w:insideV w:val="nil"/>
        </w:tcBorders>
        <w:shd w:val="clear" w:color="auto" w:fill="FFFFFF" w:themeFill="background1"/>
      </w:tcPr>
    </w:tblStylePr>
    <w:tblStylePr w:type="lastRow">
      <w:tblPr/>
      <w:tcPr>
        <w:tcBorders>
          <w:top w:val="single" w:sz="8" w:space="0" w:color="196B24"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96B24" w:themeColor="accent3"/>
          <w:insideH w:val="nil"/>
          <w:insideV w:val="nil"/>
        </w:tcBorders>
        <w:shd w:val="clear" w:color="auto" w:fill="FFFFFF" w:themeFill="background1"/>
      </w:tcPr>
    </w:tblStylePr>
    <w:tblStylePr w:type="lastCol">
      <w:tblPr/>
      <w:tcPr>
        <w:tcBorders>
          <w:top w:val="nil"/>
          <w:left w:val="single" w:sz="8" w:space="0" w:color="196B24"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3EDBA" w:themeFill="accent3" w:themeFillTint="3F"/>
      </w:tcPr>
    </w:tblStylePr>
    <w:tblStylePr w:type="band1Horz">
      <w:tblPr/>
      <w:tcPr>
        <w:tcBorders>
          <w:top w:val="nil"/>
          <w:bottom w:val="nil"/>
          <w:insideH w:val="nil"/>
          <w:insideV w:val="nil"/>
        </w:tcBorders>
        <w:shd w:val="clear" w:color="auto" w:fill="B3EDBA"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4">
    <w:name w:val="Medium List 2 Accent 4"/>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tblBorders>
    </w:tblPr>
    <w:tblStylePr w:type="firstRow">
      <w:rPr>
        <w:sz w:val="24"/>
        <w:szCs w:val="24"/>
      </w:rPr>
      <w:tblPr/>
      <w:tcPr>
        <w:tcBorders>
          <w:top w:val="nil"/>
          <w:left w:val="nil"/>
          <w:bottom w:val="single" w:sz="24" w:space="0" w:color="0F9ED5" w:themeColor="accent4"/>
          <w:right w:val="nil"/>
          <w:insideH w:val="nil"/>
          <w:insideV w:val="nil"/>
        </w:tcBorders>
        <w:shd w:val="clear" w:color="auto" w:fill="FFFFFF" w:themeFill="background1"/>
      </w:tcPr>
    </w:tblStylePr>
    <w:tblStylePr w:type="lastRow">
      <w:tblPr/>
      <w:tcPr>
        <w:tcBorders>
          <w:top w:val="single" w:sz="8" w:space="0" w:color="0F9ED5"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9ED5" w:themeColor="accent4"/>
          <w:insideH w:val="nil"/>
          <w:insideV w:val="nil"/>
        </w:tcBorders>
        <w:shd w:val="clear" w:color="auto" w:fill="FFFFFF" w:themeFill="background1"/>
      </w:tcPr>
    </w:tblStylePr>
    <w:tblStylePr w:type="lastCol">
      <w:tblPr/>
      <w:tcPr>
        <w:tcBorders>
          <w:top w:val="nil"/>
          <w:left w:val="single" w:sz="8" w:space="0" w:color="0F9ED5"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DE9FA" w:themeFill="accent4" w:themeFillTint="3F"/>
      </w:tcPr>
    </w:tblStylePr>
    <w:tblStylePr w:type="band1Horz">
      <w:tblPr/>
      <w:tcPr>
        <w:tcBorders>
          <w:top w:val="nil"/>
          <w:bottom w:val="nil"/>
          <w:insideH w:val="nil"/>
          <w:insideV w:val="nil"/>
        </w:tcBorders>
        <w:shd w:val="clear" w:color="auto" w:fill="BDE9FA"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5">
    <w:name w:val="Medium List 2 Accent 5"/>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tblBorders>
    </w:tblPr>
    <w:tblStylePr w:type="firstRow">
      <w:rPr>
        <w:sz w:val="24"/>
        <w:szCs w:val="24"/>
      </w:rPr>
      <w:tblPr/>
      <w:tcPr>
        <w:tcBorders>
          <w:top w:val="nil"/>
          <w:left w:val="nil"/>
          <w:bottom w:val="single" w:sz="24" w:space="0" w:color="A02B93" w:themeColor="accent5"/>
          <w:right w:val="nil"/>
          <w:insideH w:val="nil"/>
          <w:insideV w:val="nil"/>
        </w:tcBorders>
        <w:shd w:val="clear" w:color="auto" w:fill="FFFFFF" w:themeFill="background1"/>
      </w:tcPr>
    </w:tblStylePr>
    <w:tblStylePr w:type="lastRow">
      <w:tblPr/>
      <w:tcPr>
        <w:tcBorders>
          <w:top w:val="single" w:sz="8" w:space="0" w:color="A02B93"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02B93" w:themeColor="accent5"/>
          <w:insideH w:val="nil"/>
          <w:insideV w:val="nil"/>
        </w:tcBorders>
        <w:shd w:val="clear" w:color="auto" w:fill="FFFFFF" w:themeFill="background1"/>
      </w:tcPr>
    </w:tblStylePr>
    <w:tblStylePr w:type="lastCol">
      <w:tblPr/>
      <w:tcPr>
        <w:tcBorders>
          <w:top w:val="nil"/>
          <w:left w:val="single" w:sz="8" w:space="0" w:color="A02B93"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C3E9" w:themeFill="accent5" w:themeFillTint="3F"/>
      </w:tcPr>
    </w:tblStylePr>
    <w:tblStylePr w:type="band1Horz">
      <w:tblPr/>
      <w:tcPr>
        <w:tcBorders>
          <w:top w:val="nil"/>
          <w:bottom w:val="nil"/>
          <w:insideH w:val="nil"/>
          <w:insideV w:val="nil"/>
        </w:tcBorders>
        <w:shd w:val="clear" w:color="auto" w:fill="EFC3E9"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6">
    <w:name w:val="Medium List 2 Accent 6"/>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tblBorders>
    </w:tblPr>
    <w:tblStylePr w:type="firstRow">
      <w:rPr>
        <w:sz w:val="24"/>
        <w:szCs w:val="24"/>
      </w:rPr>
      <w:tblPr/>
      <w:tcPr>
        <w:tcBorders>
          <w:top w:val="nil"/>
          <w:left w:val="nil"/>
          <w:bottom w:val="single" w:sz="24" w:space="0" w:color="4EA72E" w:themeColor="accent6"/>
          <w:right w:val="nil"/>
          <w:insideH w:val="nil"/>
          <w:insideV w:val="nil"/>
        </w:tcBorders>
        <w:shd w:val="clear" w:color="auto" w:fill="FFFFFF" w:themeFill="background1"/>
      </w:tcPr>
    </w:tblStylePr>
    <w:tblStylePr w:type="lastRow">
      <w:tblPr/>
      <w:tcPr>
        <w:tcBorders>
          <w:top w:val="single" w:sz="8" w:space="0" w:color="4EA72E"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EA72E" w:themeColor="accent6"/>
          <w:insideH w:val="nil"/>
          <w:insideV w:val="nil"/>
        </w:tcBorders>
        <w:shd w:val="clear" w:color="auto" w:fill="FFFFFF" w:themeFill="background1"/>
      </w:tcPr>
    </w:tblStylePr>
    <w:tblStylePr w:type="lastCol">
      <w:tblPr/>
      <w:tcPr>
        <w:tcBorders>
          <w:top w:val="nil"/>
          <w:left w:val="single" w:sz="8" w:space="0" w:color="4EA72E"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EFC5" w:themeFill="accent6" w:themeFillTint="3F"/>
      </w:tcPr>
    </w:tblStylePr>
    <w:tblStylePr w:type="band1Horz">
      <w:tblPr/>
      <w:tcPr>
        <w:tcBorders>
          <w:top w:val="nil"/>
          <w:bottom w:val="nil"/>
          <w:insideH w:val="nil"/>
          <w:insideV w:val="nil"/>
        </w:tcBorders>
        <w:shd w:val="clear" w:color="auto" w:fill="D0EFC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GradeMdia1">
    <w:name w:val="Medium Grid 1"/>
    <w:basedOn w:val="Tabe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adeMdia1-nfase1">
    <w:name w:val="Medium Grid 1 Accent 1"/>
    <w:basedOn w:val="Tabelanormal"/>
    <w:uiPriority w:val="67"/>
    <w:rsid w:val="00CB0664"/>
    <w:pPr>
      <w:spacing w:after="0" w:line="240" w:lineRule="auto"/>
    </w:pPr>
    <w:tblPr>
      <w:tblStyleRowBandSize w:val="1"/>
      <w:tblStyleColBandSize w:val="1"/>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insideV w:val="single" w:sz="8" w:space="0" w:color="2198CF" w:themeColor="accent1" w:themeTint="BF"/>
      </w:tblBorders>
    </w:tblPr>
    <w:tcPr>
      <w:shd w:val="clear" w:color="auto" w:fill="B2DEF2" w:themeFill="accent1" w:themeFillTint="3F"/>
    </w:tcPr>
    <w:tblStylePr w:type="firstRow">
      <w:rPr>
        <w:b/>
        <w:bCs/>
      </w:rPr>
    </w:tblStylePr>
    <w:tblStylePr w:type="lastRow">
      <w:rPr>
        <w:b/>
        <w:bCs/>
      </w:rPr>
      <w:tblPr/>
      <w:tcPr>
        <w:tcBorders>
          <w:top w:val="single" w:sz="18" w:space="0" w:color="2198CF" w:themeColor="accent1" w:themeTint="BF"/>
        </w:tcBorders>
      </w:tcPr>
    </w:tblStylePr>
    <w:tblStylePr w:type="firstCol">
      <w:rPr>
        <w:b/>
        <w:bCs/>
      </w:rPr>
    </w:tblStylePr>
    <w:tblStylePr w:type="lastCol">
      <w:rPr>
        <w:b/>
        <w:bCs/>
      </w:rPr>
    </w:tblStylePr>
    <w:tblStylePr w:type="band1Vert">
      <w:tblPr/>
      <w:tcPr>
        <w:shd w:val="clear" w:color="auto" w:fill="64BDE6" w:themeFill="accent1" w:themeFillTint="7F"/>
      </w:tcPr>
    </w:tblStylePr>
    <w:tblStylePr w:type="band1Horz">
      <w:tblPr/>
      <w:tcPr>
        <w:shd w:val="clear" w:color="auto" w:fill="64BDE6" w:themeFill="accent1" w:themeFillTint="7F"/>
      </w:tcPr>
    </w:tblStylePr>
  </w:style>
  <w:style w:type="table" w:styleId="GradeMdia1-nfase2">
    <w:name w:val="Medium Grid 1 Accent 2"/>
    <w:basedOn w:val="Tabelanormal"/>
    <w:uiPriority w:val="67"/>
    <w:rsid w:val="00CB0664"/>
    <w:pPr>
      <w:spacing w:after="0" w:line="240" w:lineRule="auto"/>
    </w:p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insideV w:val="single" w:sz="8" w:space="0" w:color="EE9465" w:themeColor="accent2" w:themeTint="BF"/>
      </w:tblBorders>
    </w:tblPr>
    <w:tcPr>
      <w:shd w:val="clear" w:color="auto" w:fill="F9DBCC" w:themeFill="accent2" w:themeFillTint="3F"/>
    </w:tcPr>
    <w:tblStylePr w:type="firstRow">
      <w:rPr>
        <w:b/>
        <w:bCs/>
      </w:rPr>
    </w:tblStylePr>
    <w:tblStylePr w:type="lastRow">
      <w:rPr>
        <w:b/>
        <w:bCs/>
      </w:rPr>
      <w:tblPr/>
      <w:tcPr>
        <w:tcBorders>
          <w:top w:val="single" w:sz="18" w:space="0" w:color="EE9465" w:themeColor="accent2" w:themeTint="BF"/>
        </w:tcBorders>
      </w:tcPr>
    </w:tblStylePr>
    <w:tblStylePr w:type="firstCol">
      <w:rPr>
        <w:b/>
        <w:bCs/>
      </w:rPr>
    </w:tblStylePr>
    <w:tblStylePr w:type="lastCol">
      <w:rPr>
        <w:b/>
        <w:bCs/>
      </w:r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GradeMdia1-nfase3">
    <w:name w:val="Medium Grid 1 Accent 3"/>
    <w:basedOn w:val="Tabelanormal"/>
    <w:uiPriority w:val="67"/>
    <w:rsid w:val="00CB0664"/>
    <w:pPr>
      <w:spacing w:after="0" w:line="240" w:lineRule="auto"/>
    </w:p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insideV w:val="single" w:sz="8" w:space="0" w:color="2BB73D" w:themeColor="accent3" w:themeTint="BF"/>
      </w:tblBorders>
    </w:tblPr>
    <w:tcPr>
      <w:shd w:val="clear" w:color="auto" w:fill="B3EDBA" w:themeFill="accent3" w:themeFillTint="3F"/>
    </w:tcPr>
    <w:tblStylePr w:type="firstRow">
      <w:rPr>
        <w:b/>
        <w:bCs/>
      </w:rPr>
    </w:tblStylePr>
    <w:tblStylePr w:type="lastRow">
      <w:rPr>
        <w:b/>
        <w:bCs/>
      </w:rPr>
      <w:tblPr/>
      <w:tcPr>
        <w:tcBorders>
          <w:top w:val="single" w:sz="18" w:space="0" w:color="2BB73D" w:themeColor="accent3" w:themeTint="BF"/>
        </w:tcBorders>
      </w:tcPr>
    </w:tblStylePr>
    <w:tblStylePr w:type="firstCol">
      <w:rPr>
        <w:b/>
        <w:bCs/>
      </w:rPr>
    </w:tblStylePr>
    <w:tblStylePr w:type="lastCol">
      <w:rPr>
        <w:b/>
        <w:bCs/>
      </w:r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table" w:styleId="GradeMdia1-nfase4">
    <w:name w:val="Medium Grid 1 Accent 4"/>
    <w:basedOn w:val="Tabelanormal"/>
    <w:uiPriority w:val="67"/>
    <w:rsid w:val="00CB0664"/>
    <w:pPr>
      <w:spacing w:after="0" w:line="240" w:lineRule="auto"/>
    </w:pPr>
    <w:tblPr>
      <w:tblStyleRowBandSize w:val="1"/>
      <w:tblStyleColBandSize w:val="1"/>
      <w:tbl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single" w:sz="8" w:space="0" w:color="39BEF1" w:themeColor="accent4" w:themeTint="BF"/>
        <w:insideV w:val="single" w:sz="8" w:space="0" w:color="39BEF1" w:themeColor="accent4" w:themeTint="BF"/>
      </w:tblBorders>
    </w:tblPr>
    <w:tcPr>
      <w:shd w:val="clear" w:color="auto" w:fill="BDE9FA" w:themeFill="accent4" w:themeFillTint="3F"/>
    </w:tcPr>
    <w:tblStylePr w:type="firstRow">
      <w:rPr>
        <w:b/>
        <w:bCs/>
      </w:rPr>
    </w:tblStylePr>
    <w:tblStylePr w:type="lastRow">
      <w:rPr>
        <w:b/>
        <w:bCs/>
      </w:rPr>
      <w:tblPr/>
      <w:tcPr>
        <w:tcBorders>
          <w:top w:val="single" w:sz="18" w:space="0" w:color="39BEF1" w:themeColor="accent4" w:themeTint="BF"/>
        </w:tcBorders>
      </w:tcPr>
    </w:tblStylePr>
    <w:tblStylePr w:type="firstCol">
      <w:rPr>
        <w:b/>
        <w:bCs/>
      </w:rPr>
    </w:tblStylePr>
    <w:tblStylePr w:type="lastCol">
      <w:rPr>
        <w:b/>
        <w:bCs/>
      </w:rPr>
    </w:tblStylePr>
    <w:tblStylePr w:type="band1Vert">
      <w:tblPr/>
      <w:tcPr>
        <w:shd w:val="clear" w:color="auto" w:fill="7BD3F5" w:themeFill="accent4" w:themeFillTint="7F"/>
      </w:tcPr>
    </w:tblStylePr>
    <w:tblStylePr w:type="band1Horz">
      <w:tblPr/>
      <w:tcPr>
        <w:shd w:val="clear" w:color="auto" w:fill="7BD3F5" w:themeFill="accent4" w:themeFillTint="7F"/>
      </w:tcPr>
    </w:tblStylePr>
  </w:style>
  <w:style w:type="table" w:styleId="GradeMdia1-nfase5">
    <w:name w:val="Medium Grid 1 Accent 5"/>
    <w:basedOn w:val="Tabelanormal"/>
    <w:uiPriority w:val="67"/>
    <w:rsid w:val="00CB0664"/>
    <w:pPr>
      <w:spacing w:after="0" w:line="240" w:lineRule="auto"/>
    </w:pPr>
    <w:tblPr>
      <w:tblStyleRowBandSize w:val="1"/>
      <w:tblStyleColBandSize w:val="1"/>
      <w:tbl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single" w:sz="8" w:space="0" w:color="CE49BF" w:themeColor="accent5" w:themeTint="BF"/>
        <w:insideV w:val="single" w:sz="8" w:space="0" w:color="CE49BF" w:themeColor="accent5" w:themeTint="BF"/>
      </w:tblBorders>
    </w:tblPr>
    <w:tcPr>
      <w:shd w:val="clear" w:color="auto" w:fill="EFC3E9" w:themeFill="accent5" w:themeFillTint="3F"/>
    </w:tcPr>
    <w:tblStylePr w:type="firstRow">
      <w:rPr>
        <w:b/>
        <w:bCs/>
      </w:rPr>
    </w:tblStylePr>
    <w:tblStylePr w:type="lastRow">
      <w:rPr>
        <w:b/>
        <w:bCs/>
      </w:rPr>
      <w:tblPr/>
      <w:tcPr>
        <w:tcBorders>
          <w:top w:val="single" w:sz="18" w:space="0" w:color="CE49BF" w:themeColor="accent5" w:themeTint="BF"/>
        </w:tcBorders>
      </w:tcPr>
    </w:tblStylePr>
    <w:tblStylePr w:type="firstCol">
      <w:rPr>
        <w:b/>
        <w:bCs/>
      </w:rPr>
    </w:tblStylePr>
    <w:tblStylePr w:type="lastCol">
      <w:rPr>
        <w:b/>
        <w:bCs/>
      </w:rPr>
    </w:tblStylePr>
    <w:tblStylePr w:type="band1Vert">
      <w:tblPr/>
      <w:tcPr>
        <w:shd w:val="clear" w:color="auto" w:fill="DE86D4" w:themeFill="accent5" w:themeFillTint="7F"/>
      </w:tcPr>
    </w:tblStylePr>
    <w:tblStylePr w:type="band1Horz">
      <w:tblPr/>
      <w:tcPr>
        <w:shd w:val="clear" w:color="auto" w:fill="DE86D4" w:themeFill="accent5" w:themeFillTint="7F"/>
      </w:tcPr>
    </w:tblStylePr>
  </w:style>
  <w:style w:type="table" w:styleId="GradeMdia1-nfase6">
    <w:name w:val="Medium Grid 1 Accent 6"/>
    <w:basedOn w:val="Tabelanormal"/>
    <w:uiPriority w:val="67"/>
    <w:rsid w:val="00CB0664"/>
    <w:pPr>
      <w:spacing w:after="0" w:line="240" w:lineRule="auto"/>
    </w:pPr>
    <w:tblPr>
      <w:tblStyleRowBandSize w:val="1"/>
      <w:tblStyleColBandSize w:val="1"/>
      <w:tbl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single" w:sz="8" w:space="0" w:color="71CF50" w:themeColor="accent6" w:themeTint="BF"/>
        <w:insideV w:val="single" w:sz="8" w:space="0" w:color="71CF50" w:themeColor="accent6" w:themeTint="BF"/>
      </w:tblBorders>
    </w:tblPr>
    <w:tcPr>
      <w:shd w:val="clear" w:color="auto" w:fill="D0EFC5" w:themeFill="accent6" w:themeFillTint="3F"/>
    </w:tcPr>
    <w:tblStylePr w:type="firstRow">
      <w:rPr>
        <w:b/>
        <w:bCs/>
      </w:rPr>
    </w:tblStylePr>
    <w:tblStylePr w:type="lastRow">
      <w:rPr>
        <w:b/>
        <w:bCs/>
      </w:rPr>
      <w:tblPr/>
      <w:tcPr>
        <w:tcBorders>
          <w:top w:val="single" w:sz="18" w:space="0" w:color="71CF50" w:themeColor="accent6" w:themeTint="BF"/>
        </w:tcBorders>
      </w:tcPr>
    </w:tblStylePr>
    <w:tblStylePr w:type="firstCol">
      <w:rPr>
        <w:b/>
        <w:bCs/>
      </w:rPr>
    </w:tblStylePr>
    <w:tblStylePr w:type="lastCol">
      <w:rPr>
        <w:b/>
        <w:bCs/>
      </w:r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table" w:styleId="GradeMdia2">
    <w:name w:val="Medium Grid 2"/>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GradeMdia2-nfase1">
    <w:name w:val="Medium Grid 2 Accent 1"/>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cPr>
      <w:shd w:val="clear" w:color="auto" w:fill="B2DEF2" w:themeFill="accent1" w:themeFillTint="3F"/>
    </w:tcPr>
    <w:tblStylePr w:type="firstRow">
      <w:rPr>
        <w:b/>
        <w:bCs/>
        <w:color w:val="000000" w:themeColor="text1"/>
      </w:rPr>
      <w:tblPr/>
      <w:tcPr>
        <w:shd w:val="clear" w:color="auto" w:fill="E0F2FA"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E4F5" w:themeFill="accent1" w:themeFillTint="33"/>
      </w:tcPr>
    </w:tblStylePr>
    <w:tblStylePr w:type="band1Vert">
      <w:tblPr/>
      <w:tcPr>
        <w:shd w:val="clear" w:color="auto" w:fill="64BDE6" w:themeFill="accent1" w:themeFillTint="7F"/>
      </w:tcPr>
    </w:tblStylePr>
    <w:tblStylePr w:type="band1Horz">
      <w:tblPr/>
      <w:tcPr>
        <w:tcBorders>
          <w:insideH w:val="single" w:sz="6" w:space="0" w:color="156082" w:themeColor="accent1"/>
          <w:insideV w:val="single" w:sz="6" w:space="0" w:color="156082" w:themeColor="accent1"/>
        </w:tcBorders>
        <w:shd w:val="clear" w:color="auto" w:fill="64BDE6" w:themeFill="accent1" w:themeFillTint="7F"/>
      </w:tcPr>
    </w:tblStylePr>
    <w:tblStylePr w:type="nwCell">
      <w:tblPr/>
      <w:tcPr>
        <w:shd w:val="clear" w:color="auto" w:fill="FFFFFF" w:themeFill="background1"/>
      </w:tcPr>
    </w:tblStylePr>
  </w:style>
  <w:style w:type="table" w:styleId="GradeMdia2-nfase2">
    <w:name w:val="Medium Grid 2 Accent 2"/>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insideH w:val="single" w:sz="8" w:space="0" w:color="E97132" w:themeColor="accent2"/>
        <w:insideV w:val="single" w:sz="8" w:space="0" w:color="E97132" w:themeColor="accent2"/>
      </w:tblBorders>
    </w:tblPr>
    <w:tcPr>
      <w:shd w:val="clear" w:color="auto" w:fill="F9DBCC" w:themeFill="accent2" w:themeFillTint="3F"/>
    </w:tcPr>
    <w:tblStylePr w:type="firstRow">
      <w:rPr>
        <w:b/>
        <w:bCs/>
        <w:color w:val="000000" w:themeColor="text1"/>
      </w:rPr>
      <w:tblPr/>
      <w:tcPr>
        <w:shd w:val="clear" w:color="auto" w:fill="FCF0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AE2D5" w:themeFill="accent2" w:themeFillTint="33"/>
      </w:tcPr>
    </w:tblStylePr>
    <w:tblStylePr w:type="band1Vert">
      <w:tblPr/>
      <w:tcPr>
        <w:shd w:val="clear" w:color="auto" w:fill="F4B798" w:themeFill="accent2" w:themeFillTint="7F"/>
      </w:tcPr>
    </w:tblStylePr>
    <w:tblStylePr w:type="band1Horz">
      <w:tblPr/>
      <w:tcPr>
        <w:tcBorders>
          <w:insideH w:val="single" w:sz="6" w:space="0" w:color="E97132" w:themeColor="accent2"/>
          <w:insideV w:val="single" w:sz="6" w:space="0" w:color="E97132" w:themeColor="accent2"/>
        </w:tcBorders>
        <w:shd w:val="clear" w:color="auto" w:fill="F4B798" w:themeFill="accent2" w:themeFillTint="7F"/>
      </w:tcPr>
    </w:tblStylePr>
    <w:tblStylePr w:type="nwCell">
      <w:tblPr/>
      <w:tcPr>
        <w:shd w:val="clear" w:color="auto" w:fill="FFFFFF" w:themeFill="background1"/>
      </w:tcPr>
    </w:tblStylePr>
  </w:style>
  <w:style w:type="table" w:styleId="GradeMdia2-nfase3">
    <w:name w:val="Medium Grid 2 Accent 3"/>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cPr>
      <w:shd w:val="clear" w:color="auto" w:fill="B3EDBA" w:themeFill="accent3" w:themeFillTint="3F"/>
    </w:tcPr>
    <w:tblStylePr w:type="firstRow">
      <w:rPr>
        <w:b/>
        <w:bCs/>
        <w:color w:val="000000" w:themeColor="text1"/>
      </w:rPr>
      <w:tblPr/>
      <w:tcPr>
        <w:shd w:val="clear" w:color="auto" w:fill="E0F8E3"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F0C7" w:themeFill="accent3" w:themeFillTint="33"/>
      </w:tcPr>
    </w:tblStylePr>
    <w:tblStylePr w:type="band1Vert">
      <w:tblPr/>
      <w:tcPr>
        <w:shd w:val="clear" w:color="auto" w:fill="66DB75" w:themeFill="accent3" w:themeFillTint="7F"/>
      </w:tcPr>
    </w:tblStylePr>
    <w:tblStylePr w:type="band1Horz">
      <w:tblPr/>
      <w:tcPr>
        <w:tcBorders>
          <w:insideH w:val="single" w:sz="6" w:space="0" w:color="196B24" w:themeColor="accent3"/>
          <w:insideV w:val="single" w:sz="6" w:space="0" w:color="196B24" w:themeColor="accent3"/>
        </w:tcBorders>
        <w:shd w:val="clear" w:color="auto" w:fill="66DB75" w:themeFill="accent3" w:themeFillTint="7F"/>
      </w:tcPr>
    </w:tblStylePr>
    <w:tblStylePr w:type="nwCell">
      <w:tblPr/>
      <w:tcPr>
        <w:shd w:val="clear" w:color="auto" w:fill="FFFFFF" w:themeFill="background1"/>
      </w:tcPr>
    </w:tblStylePr>
  </w:style>
  <w:style w:type="table" w:styleId="GradeMdia2-nfase4">
    <w:name w:val="Medium Grid 2 Accent 4"/>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insideH w:val="single" w:sz="8" w:space="0" w:color="0F9ED5" w:themeColor="accent4"/>
        <w:insideV w:val="single" w:sz="8" w:space="0" w:color="0F9ED5" w:themeColor="accent4"/>
      </w:tblBorders>
    </w:tblPr>
    <w:tcPr>
      <w:shd w:val="clear" w:color="auto" w:fill="BDE9FA" w:themeFill="accent4" w:themeFillTint="3F"/>
    </w:tcPr>
    <w:tblStylePr w:type="firstRow">
      <w:rPr>
        <w:b/>
        <w:bCs/>
        <w:color w:val="000000" w:themeColor="text1"/>
      </w:rPr>
      <w:tblPr/>
      <w:tcPr>
        <w:shd w:val="clear" w:color="auto" w:fill="E5F6FD"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AEDFB" w:themeFill="accent4" w:themeFillTint="33"/>
      </w:tcPr>
    </w:tblStylePr>
    <w:tblStylePr w:type="band1Vert">
      <w:tblPr/>
      <w:tcPr>
        <w:shd w:val="clear" w:color="auto" w:fill="7BD3F5" w:themeFill="accent4" w:themeFillTint="7F"/>
      </w:tcPr>
    </w:tblStylePr>
    <w:tblStylePr w:type="band1Horz">
      <w:tblPr/>
      <w:tcPr>
        <w:tcBorders>
          <w:insideH w:val="single" w:sz="6" w:space="0" w:color="0F9ED5" w:themeColor="accent4"/>
          <w:insideV w:val="single" w:sz="6" w:space="0" w:color="0F9ED5" w:themeColor="accent4"/>
        </w:tcBorders>
        <w:shd w:val="clear" w:color="auto" w:fill="7BD3F5" w:themeFill="accent4" w:themeFillTint="7F"/>
      </w:tcPr>
    </w:tblStylePr>
    <w:tblStylePr w:type="nwCell">
      <w:tblPr/>
      <w:tcPr>
        <w:shd w:val="clear" w:color="auto" w:fill="FFFFFF" w:themeFill="background1"/>
      </w:tcPr>
    </w:tblStylePr>
  </w:style>
  <w:style w:type="table" w:styleId="GradeMdia2-nfase5">
    <w:name w:val="Medium Grid 2 Accent 5"/>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cPr>
      <w:shd w:val="clear" w:color="auto" w:fill="EFC3E9" w:themeFill="accent5" w:themeFillTint="3F"/>
    </w:tcPr>
    <w:tblStylePr w:type="firstRow">
      <w:rPr>
        <w:b/>
        <w:bCs/>
        <w:color w:val="000000" w:themeColor="text1"/>
      </w:rPr>
      <w:tblPr/>
      <w:tcPr>
        <w:shd w:val="clear" w:color="auto" w:fill="F8E7F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CEED" w:themeFill="accent5" w:themeFillTint="33"/>
      </w:tcPr>
    </w:tblStylePr>
    <w:tblStylePr w:type="band1Vert">
      <w:tblPr/>
      <w:tcPr>
        <w:shd w:val="clear" w:color="auto" w:fill="DE86D4" w:themeFill="accent5" w:themeFillTint="7F"/>
      </w:tcPr>
    </w:tblStylePr>
    <w:tblStylePr w:type="band1Horz">
      <w:tblPr/>
      <w:tcPr>
        <w:tcBorders>
          <w:insideH w:val="single" w:sz="6" w:space="0" w:color="A02B93" w:themeColor="accent5"/>
          <w:insideV w:val="single" w:sz="6" w:space="0" w:color="A02B93" w:themeColor="accent5"/>
        </w:tcBorders>
        <w:shd w:val="clear" w:color="auto" w:fill="DE86D4" w:themeFill="accent5" w:themeFillTint="7F"/>
      </w:tcPr>
    </w:tblStylePr>
    <w:tblStylePr w:type="nwCell">
      <w:tblPr/>
      <w:tcPr>
        <w:shd w:val="clear" w:color="auto" w:fill="FFFFFF" w:themeFill="background1"/>
      </w:tcPr>
    </w:tblStylePr>
  </w:style>
  <w:style w:type="table" w:styleId="GradeMdia2-nfase6">
    <w:name w:val="Medium Grid 2 Accent 6"/>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cPr>
      <w:shd w:val="clear" w:color="auto" w:fill="D0EFC5" w:themeFill="accent6" w:themeFillTint="3F"/>
    </w:tcPr>
    <w:tblStylePr w:type="firstRow">
      <w:rPr>
        <w:b/>
        <w:bCs/>
        <w:color w:val="000000" w:themeColor="text1"/>
      </w:rPr>
      <w:tblPr/>
      <w:tcPr>
        <w:shd w:val="clear" w:color="auto" w:fill="ECF8E8"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F2D0" w:themeFill="accent6" w:themeFillTint="33"/>
      </w:tcPr>
    </w:tblStylePr>
    <w:tblStylePr w:type="band1Vert">
      <w:tblPr/>
      <w:tcPr>
        <w:shd w:val="clear" w:color="auto" w:fill="A0DF8A" w:themeFill="accent6" w:themeFillTint="7F"/>
      </w:tcPr>
    </w:tblStylePr>
    <w:tblStylePr w:type="band1Horz">
      <w:tblPr/>
      <w:tcPr>
        <w:tcBorders>
          <w:insideH w:val="single" w:sz="6" w:space="0" w:color="4EA72E" w:themeColor="accent6"/>
          <w:insideV w:val="single" w:sz="6" w:space="0" w:color="4EA72E" w:themeColor="accent6"/>
        </w:tcBorders>
        <w:shd w:val="clear" w:color="auto" w:fill="A0DF8A" w:themeFill="accent6" w:themeFillTint="7F"/>
      </w:tcPr>
    </w:tblStylePr>
    <w:tblStylePr w:type="nwCell">
      <w:tblPr/>
      <w:tcPr>
        <w:shd w:val="clear" w:color="auto" w:fill="FFFFFF" w:themeFill="background1"/>
      </w:tcPr>
    </w:tblStylePr>
  </w:style>
  <w:style w:type="table" w:styleId="GradeMdia3">
    <w:name w:val="Medium Grid 3"/>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GradeMdia3-nfase1">
    <w:name w:val="Medium Grid 3 Accent 1"/>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2DEF2"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5608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5608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5608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5608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4BDE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4BDE6" w:themeFill="accent1" w:themeFillTint="7F"/>
      </w:tcPr>
    </w:tblStylePr>
  </w:style>
  <w:style w:type="table" w:styleId="GradeMdia3-nfase2">
    <w:name w:val="Medium Grid 3 Accent 2"/>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9DBCC"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97132"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97132"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97132"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97132"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4B7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4B798" w:themeFill="accent2" w:themeFillTint="7F"/>
      </w:tcPr>
    </w:tblStylePr>
  </w:style>
  <w:style w:type="table" w:styleId="GradeMdia3-nfase3">
    <w:name w:val="Medium Grid 3 Accent 3"/>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3EDB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96B24"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96B24"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96B24"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96B24"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6DB75"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6DB75" w:themeFill="accent3" w:themeFillTint="7F"/>
      </w:tcPr>
    </w:tblStylePr>
  </w:style>
  <w:style w:type="table" w:styleId="GradeMdia3-nfase4">
    <w:name w:val="Medium Grid 3 Accent 4"/>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DE9FA"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F9ED5"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F9ED5"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F9ED5"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F9ED5"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BD3F5"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BD3F5" w:themeFill="accent4" w:themeFillTint="7F"/>
      </w:tcPr>
    </w:tblStylePr>
  </w:style>
  <w:style w:type="table" w:styleId="GradeMdia3-nfase5">
    <w:name w:val="Medium Grid 3 Accent 5"/>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C3E9"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02B9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02B9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02B9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02B9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E86D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E86D4" w:themeFill="accent5" w:themeFillTint="7F"/>
      </w:tcPr>
    </w:tblStylePr>
  </w:style>
  <w:style w:type="table" w:styleId="GradeMdia3-nfase6">
    <w:name w:val="Medium Grid 3 Accent 6"/>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EFC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EA72E"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EA72E"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EA72E"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EA72E"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0DF8A"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0DF8A" w:themeFill="accent6" w:themeFillTint="7F"/>
      </w:tcPr>
    </w:tblStylePr>
  </w:style>
  <w:style w:type="table" w:styleId="ListaEscura">
    <w:name w:val="Dark List"/>
    <w:basedOn w:val="Tabe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Escura-nfase1">
    <w:name w:val="Dark List Accent 1"/>
    <w:basedOn w:val="Tabelanormal"/>
    <w:uiPriority w:val="70"/>
    <w:rsid w:val="00CB0664"/>
    <w:pPr>
      <w:spacing w:after="0" w:line="240" w:lineRule="auto"/>
    </w:pPr>
    <w:rPr>
      <w:color w:val="FFFFFF" w:themeColor="background1"/>
    </w:rPr>
    <w:tblPr>
      <w:tblStyleRowBandSize w:val="1"/>
      <w:tblStyleColBandSize w:val="1"/>
    </w:tblPr>
    <w:tcPr>
      <w:shd w:val="clear" w:color="auto" w:fill="15608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A2F4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F476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F4761" w:themeFill="accent1" w:themeFillShade="BF"/>
      </w:tcPr>
    </w:tblStylePr>
    <w:tblStylePr w:type="band1Vert">
      <w:tblPr/>
      <w:tcPr>
        <w:tcBorders>
          <w:top w:val="nil"/>
          <w:left w:val="nil"/>
          <w:bottom w:val="nil"/>
          <w:right w:val="nil"/>
          <w:insideH w:val="nil"/>
          <w:insideV w:val="nil"/>
        </w:tcBorders>
        <w:shd w:val="clear" w:color="auto" w:fill="0F4761" w:themeFill="accent1" w:themeFillShade="BF"/>
      </w:tcPr>
    </w:tblStylePr>
    <w:tblStylePr w:type="band1Horz">
      <w:tblPr/>
      <w:tcPr>
        <w:tcBorders>
          <w:top w:val="nil"/>
          <w:left w:val="nil"/>
          <w:bottom w:val="nil"/>
          <w:right w:val="nil"/>
          <w:insideH w:val="nil"/>
          <w:insideV w:val="nil"/>
        </w:tcBorders>
        <w:shd w:val="clear" w:color="auto" w:fill="0F4761" w:themeFill="accent1" w:themeFillShade="BF"/>
      </w:tcPr>
    </w:tblStylePr>
  </w:style>
  <w:style w:type="table" w:styleId="ListaEscura-nfase2">
    <w:name w:val="Dark List Accent 2"/>
    <w:basedOn w:val="Tabelanormal"/>
    <w:uiPriority w:val="70"/>
    <w:rsid w:val="00CB0664"/>
    <w:pPr>
      <w:spacing w:after="0" w:line="240" w:lineRule="auto"/>
    </w:pPr>
    <w:rPr>
      <w:color w:val="FFFFFF" w:themeColor="background1"/>
    </w:rPr>
    <w:tblPr>
      <w:tblStyleRowBandSize w:val="1"/>
      <w:tblStyleColBandSize w:val="1"/>
    </w:tblPr>
    <w:tcPr>
      <w:shd w:val="clear" w:color="auto" w:fill="E97132"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340D"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BF4E1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BF4E14" w:themeFill="accent2" w:themeFillShade="BF"/>
      </w:tcPr>
    </w:tblStylePr>
    <w:tblStylePr w:type="band1Vert">
      <w:tblPr/>
      <w:tcPr>
        <w:tcBorders>
          <w:top w:val="nil"/>
          <w:left w:val="nil"/>
          <w:bottom w:val="nil"/>
          <w:right w:val="nil"/>
          <w:insideH w:val="nil"/>
          <w:insideV w:val="nil"/>
        </w:tcBorders>
        <w:shd w:val="clear" w:color="auto" w:fill="BF4E14" w:themeFill="accent2" w:themeFillShade="BF"/>
      </w:tcPr>
    </w:tblStylePr>
    <w:tblStylePr w:type="band1Horz">
      <w:tblPr/>
      <w:tcPr>
        <w:tcBorders>
          <w:top w:val="nil"/>
          <w:left w:val="nil"/>
          <w:bottom w:val="nil"/>
          <w:right w:val="nil"/>
          <w:insideH w:val="nil"/>
          <w:insideV w:val="nil"/>
        </w:tcBorders>
        <w:shd w:val="clear" w:color="auto" w:fill="BF4E14" w:themeFill="accent2" w:themeFillShade="BF"/>
      </w:tcPr>
    </w:tblStylePr>
  </w:style>
  <w:style w:type="table" w:styleId="ListaEscura-nfase3">
    <w:name w:val="Dark List Accent 3"/>
    <w:basedOn w:val="Tabelanormal"/>
    <w:uiPriority w:val="70"/>
    <w:rsid w:val="00CB0664"/>
    <w:pPr>
      <w:spacing w:after="0" w:line="240" w:lineRule="auto"/>
    </w:pPr>
    <w:rPr>
      <w:color w:val="FFFFFF" w:themeColor="background1"/>
    </w:rPr>
    <w:tblPr>
      <w:tblStyleRowBandSize w:val="1"/>
      <w:tblStyleColBandSize w:val="1"/>
    </w:tblPr>
    <w:tcPr>
      <w:shd w:val="clear" w:color="auto" w:fill="196B24"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C3511"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124F1A"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124F1A" w:themeFill="accent3" w:themeFillShade="BF"/>
      </w:tcPr>
    </w:tblStylePr>
    <w:tblStylePr w:type="band1Vert">
      <w:tblPr/>
      <w:tcPr>
        <w:tcBorders>
          <w:top w:val="nil"/>
          <w:left w:val="nil"/>
          <w:bottom w:val="nil"/>
          <w:right w:val="nil"/>
          <w:insideH w:val="nil"/>
          <w:insideV w:val="nil"/>
        </w:tcBorders>
        <w:shd w:val="clear" w:color="auto" w:fill="124F1A" w:themeFill="accent3" w:themeFillShade="BF"/>
      </w:tcPr>
    </w:tblStylePr>
    <w:tblStylePr w:type="band1Horz">
      <w:tblPr/>
      <w:tcPr>
        <w:tcBorders>
          <w:top w:val="nil"/>
          <w:left w:val="nil"/>
          <w:bottom w:val="nil"/>
          <w:right w:val="nil"/>
          <w:insideH w:val="nil"/>
          <w:insideV w:val="nil"/>
        </w:tcBorders>
        <w:shd w:val="clear" w:color="auto" w:fill="124F1A" w:themeFill="accent3" w:themeFillShade="BF"/>
      </w:tcPr>
    </w:tblStylePr>
  </w:style>
  <w:style w:type="table" w:styleId="ListaEscura-nfase4">
    <w:name w:val="Dark List Accent 4"/>
    <w:basedOn w:val="Tabelanormal"/>
    <w:uiPriority w:val="70"/>
    <w:rsid w:val="00CB0664"/>
    <w:pPr>
      <w:spacing w:after="0" w:line="240" w:lineRule="auto"/>
    </w:pPr>
    <w:rPr>
      <w:color w:val="FFFFFF" w:themeColor="background1"/>
    </w:rPr>
    <w:tblPr>
      <w:tblStyleRowBandSize w:val="1"/>
      <w:tblStyleColBandSize w:val="1"/>
    </w:tblPr>
    <w:tcPr>
      <w:shd w:val="clear" w:color="auto" w:fill="0F9ED5"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74E69"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B769F"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B769F" w:themeFill="accent4" w:themeFillShade="BF"/>
      </w:tcPr>
    </w:tblStylePr>
    <w:tblStylePr w:type="band1Vert">
      <w:tblPr/>
      <w:tcPr>
        <w:tcBorders>
          <w:top w:val="nil"/>
          <w:left w:val="nil"/>
          <w:bottom w:val="nil"/>
          <w:right w:val="nil"/>
          <w:insideH w:val="nil"/>
          <w:insideV w:val="nil"/>
        </w:tcBorders>
        <w:shd w:val="clear" w:color="auto" w:fill="0B769F" w:themeFill="accent4" w:themeFillShade="BF"/>
      </w:tcPr>
    </w:tblStylePr>
    <w:tblStylePr w:type="band1Horz">
      <w:tblPr/>
      <w:tcPr>
        <w:tcBorders>
          <w:top w:val="nil"/>
          <w:left w:val="nil"/>
          <w:bottom w:val="nil"/>
          <w:right w:val="nil"/>
          <w:insideH w:val="nil"/>
          <w:insideV w:val="nil"/>
        </w:tcBorders>
        <w:shd w:val="clear" w:color="auto" w:fill="0B769F" w:themeFill="accent4" w:themeFillShade="BF"/>
      </w:tcPr>
    </w:tblStylePr>
  </w:style>
  <w:style w:type="table" w:styleId="ListaEscura-nfase5">
    <w:name w:val="Dark List Accent 5"/>
    <w:basedOn w:val="Tabelanormal"/>
    <w:uiPriority w:val="70"/>
    <w:rsid w:val="00CB0664"/>
    <w:pPr>
      <w:spacing w:after="0" w:line="240" w:lineRule="auto"/>
    </w:pPr>
    <w:rPr>
      <w:color w:val="FFFFFF" w:themeColor="background1"/>
    </w:rPr>
    <w:tblPr>
      <w:tblStyleRowBandSize w:val="1"/>
      <w:tblStyleColBandSize w:val="1"/>
    </w:tblPr>
    <w:tcPr>
      <w:shd w:val="clear" w:color="auto" w:fill="A02B93"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F154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206D"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206D" w:themeFill="accent5" w:themeFillShade="BF"/>
      </w:tcPr>
    </w:tblStylePr>
    <w:tblStylePr w:type="band1Vert">
      <w:tblPr/>
      <w:tcPr>
        <w:tcBorders>
          <w:top w:val="nil"/>
          <w:left w:val="nil"/>
          <w:bottom w:val="nil"/>
          <w:right w:val="nil"/>
          <w:insideH w:val="nil"/>
          <w:insideV w:val="nil"/>
        </w:tcBorders>
        <w:shd w:val="clear" w:color="auto" w:fill="77206D" w:themeFill="accent5" w:themeFillShade="BF"/>
      </w:tcPr>
    </w:tblStylePr>
    <w:tblStylePr w:type="band1Horz">
      <w:tblPr/>
      <w:tcPr>
        <w:tcBorders>
          <w:top w:val="nil"/>
          <w:left w:val="nil"/>
          <w:bottom w:val="nil"/>
          <w:right w:val="nil"/>
          <w:insideH w:val="nil"/>
          <w:insideV w:val="nil"/>
        </w:tcBorders>
        <w:shd w:val="clear" w:color="auto" w:fill="77206D" w:themeFill="accent5" w:themeFillShade="BF"/>
      </w:tcPr>
    </w:tblStylePr>
  </w:style>
  <w:style w:type="table" w:styleId="ListaEscura-nfase6">
    <w:name w:val="Dark List Accent 6"/>
    <w:basedOn w:val="Tabelanormal"/>
    <w:uiPriority w:val="70"/>
    <w:rsid w:val="00CB0664"/>
    <w:pPr>
      <w:spacing w:after="0" w:line="240" w:lineRule="auto"/>
    </w:pPr>
    <w:rPr>
      <w:color w:val="FFFFFF" w:themeColor="background1"/>
    </w:rPr>
    <w:tblPr>
      <w:tblStyleRowBandSize w:val="1"/>
      <w:tblStyleColBandSize w:val="1"/>
    </w:tblPr>
    <w:tcPr>
      <w:shd w:val="clear" w:color="auto" w:fill="4EA72E"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6531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A7C2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A7C22" w:themeFill="accent6" w:themeFillShade="BF"/>
      </w:tcPr>
    </w:tblStylePr>
    <w:tblStylePr w:type="band1Vert">
      <w:tblPr/>
      <w:tcPr>
        <w:tcBorders>
          <w:top w:val="nil"/>
          <w:left w:val="nil"/>
          <w:bottom w:val="nil"/>
          <w:right w:val="nil"/>
          <w:insideH w:val="nil"/>
          <w:insideV w:val="nil"/>
        </w:tcBorders>
        <w:shd w:val="clear" w:color="auto" w:fill="3A7C22" w:themeFill="accent6" w:themeFillShade="BF"/>
      </w:tcPr>
    </w:tblStylePr>
    <w:tblStylePr w:type="band1Horz">
      <w:tblPr/>
      <w:tcPr>
        <w:tcBorders>
          <w:top w:val="nil"/>
          <w:left w:val="nil"/>
          <w:bottom w:val="nil"/>
          <w:right w:val="nil"/>
          <w:insideH w:val="nil"/>
          <w:insideV w:val="nil"/>
        </w:tcBorders>
        <w:shd w:val="clear" w:color="auto" w:fill="3A7C22" w:themeFill="accent6" w:themeFillShade="BF"/>
      </w:tcPr>
    </w:tblStylePr>
  </w:style>
  <w:style w:type="table" w:styleId="SombreamentoColorido">
    <w:name w:val="Colorful Shading"/>
    <w:basedOn w:val="Tabelanormal"/>
    <w:uiPriority w:val="71"/>
    <w:rsid w:val="00CB0664"/>
    <w:pPr>
      <w:spacing w:after="0" w:line="240" w:lineRule="auto"/>
    </w:pPr>
    <w:rPr>
      <w:color w:val="000000" w:themeColor="text1"/>
    </w:rPr>
    <w:tblPr>
      <w:tblStyleRowBandSize w:val="1"/>
      <w:tblStyleColBandSize w:val="1"/>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mentoEscuro-nfase1">
    <w:name w:val="Colorful Shading Accent 1"/>
    <w:basedOn w:val="Tabelanormal"/>
    <w:uiPriority w:val="71"/>
    <w:rsid w:val="00CB0664"/>
    <w:pPr>
      <w:spacing w:after="0" w:line="240" w:lineRule="auto"/>
    </w:pPr>
    <w:rPr>
      <w:color w:val="000000" w:themeColor="text1"/>
    </w:rPr>
    <w:tblPr>
      <w:tblStyleRowBandSize w:val="1"/>
      <w:tblStyleColBandSize w:val="1"/>
      <w:tblBorders>
        <w:top w:val="single" w:sz="24" w:space="0" w:color="E97132" w:themeColor="accent2"/>
        <w:left w:val="single" w:sz="4" w:space="0" w:color="156082" w:themeColor="accent1"/>
        <w:bottom w:val="single" w:sz="4" w:space="0" w:color="156082" w:themeColor="accent1"/>
        <w:right w:val="single" w:sz="4" w:space="0" w:color="156082" w:themeColor="accent1"/>
        <w:insideH w:val="single" w:sz="4" w:space="0" w:color="FFFFFF" w:themeColor="background1"/>
        <w:insideV w:val="single" w:sz="4" w:space="0" w:color="FFFFFF" w:themeColor="background1"/>
      </w:tblBorders>
    </w:tblPr>
    <w:tcPr>
      <w:shd w:val="clear" w:color="auto" w:fill="E0F2FA" w:themeFill="accen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C394D" w:themeFill="accent1" w:themeFillShade="99"/>
      </w:tcPr>
    </w:tblStylePr>
    <w:tblStylePr w:type="firstCol">
      <w:rPr>
        <w:color w:val="FFFFFF" w:themeColor="background1"/>
      </w:rPr>
      <w:tblPr/>
      <w:tcPr>
        <w:tcBorders>
          <w:top w:val="nil"/>
          <w:left w:val="nil"/>
          <w:bottom w:val="nil"/>
          <w:right w:val="nil"/>
          <w:insideH w:val="single" w:sz="4" w:space="0" w:color="0C394D" w:themeColor="accent1" w:themeShade="99"/>
          <w:insideV w:val="nil"/>
        </w:tcBorders>
        <w:shd w:val="clear" w:color="auto" w:fill="0C394D"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C394D" w:themeFill="accent1" w:themeFillShade="99"/>
      </w:tcPr>
    </w:tblStylePr>
    <w:tblStylePr w:type="band1Vert">
      <w:tblPr/>
      <w:tcPr>
        <w:shd w:val="clear" w:color="auto" w:fill="83CAEB" w:themeFill="accent1" w:themeFillTint="66"/>
      </w:tcPr>
    </w:tblStylePr>
    <w:tblStylePr w:type="band1Horz">
      <w:tblPr/>
      <w:tcPr>
        <w:shd w:val="clear" w:color="auto" w:fill="64BDE6" w:themeFill="accent1" w:themeFillTint="7F"/>
      </w:tcPr>
    </w:tblStylePr>
    <w:tblStylePr w:type="neCell">
      <w:rPr>
        <w:color w:val="000000" w:themeColor="text1"/>
      </w:rPr>
    </w:tblStylePr>
    <w:tblStylePr w:type="nwCell">
      <w:rPr>
        <w:color w:val="000000" w:themeColor="text1"/>
      </w:rPr>
    </w:tblStylePr>
  </w:style>
  <w:style w:type="table" w:styleId="SombreamentoColorido-nfase2">
    <w:name w:val="Colorful Shading Accent 2"/>
    <w:basedOn w:val="Tabelanormal"/>
    <w:uiPriority w:val="71"/>
    <w:rsid w:val="00CB0664"/>
    <w:pPr>
      <w:spacing w:after="0" w:line="240" w:lineRule="auto"/>
    </w:pPr>
    <w:rPr>
      <w:color w:val="000000" w:themeColor="text1"/>
    </w:rPr>
    <w:tblPr>
      <w:tblStyleRowBandSize w:val="1"/>
      <w:tblStyleColBandSize w:val="1"/>
      <w:tblBorders>
        <w:top w:val="single" w:sz="24" w:space="0" w:color="E97132" w:themeColor="accent2"/>
        <w:left w:val="single" w:sz="4" w:space="0" w:color="E97132" w:themeColor="accent2"/>
        <w:bottom w:val="single" w:sz="4" w:space="0" w:color="E97132" w:themeColor="accent2"/>
        <w:right w:val="single" w:sz="4" w:space="0" w:color="E97132" w:themeColor="accent2"/>
        <w:insideH w:val="single" w:sz="4" w:space="0" w:color="FFFFFF" w:themeColor="background1"/>
        <w:insideV w:val="single" w:sz="4" w:space="0" w:color="FFFFFF" w:themeColor="background1"/>
      </w:tblBorders>
    </w:tblPr>
    <w:tcPr>
      <w:shd w:val="clear" w:color="auto" w:fill="FCF0EA" w:themeFill="accent2"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3F10" w:themeFill="accent2" w:themeFillShade="99"/>
      </w:tcPr>
    </w:tblStylePr>
    <w:tblStylePr w:type="firstCol">
      <w:rPr>
        <w:color w:val="FFFFFF" w:themeColor="background1"/>
      </w:rPr>
      <w:tblPr/>
      <w:tcPr>
        <w:tcBorders>
          <w:top w:val="nil"/>
          <w:left w:val="nil"/>
          <w:bottom w:val="nil"/>
          <w:right w:val="nil"/>
          <w:insideH w:val="single" w:sz="4" w:space="0" w:color="993F10" w:themeColor="accent2" w:themeShade="99"/>
          <w:insideV w:val="nil"/>
        </w:tcBorders>
        <w:shd w:val="clear" w:color="auto" w:fill="993F1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93F10" w:themeFill="accent2" w:themeFillShade="99"/>
      </w:tcPr>
    </w:tblStylePr>
    <w:tblStylePr w:type="band1Vert">
      <w:tblPr/>
      <w:tcPr>
        <w:shd w:val="clear" w:color="auto" w:fill="F6C5AC" w:themeFill="accent2" w:themeFillTint="66"/>
      </w:tcPr>
    </w:tblStylePr>
    <w:tblStylePr w:type="band1Horz">
      <w:tblPr/>
      <w:tcPr>
        <w:shd w:val="clear" w:color="auto" w:fill="F4B798" w:themeFill="accent2" w:themeFillTint="7F"/>
      </w:tcPr>
    </w:tblStylePr>
    <w:tblStylePr w:type="neCell">
      <w:rPr>
        <w:color w:val="000000" w:themeColor="text1"/>
      </w:rPr>
    </w:tblStylePr>
    <w:tblStylePr w:type="nwCell">
      <w:rPr>
        <w:color w:val="000000" w:themeColor="text1"/>
      </w:rPr>
    </w:tblStylePr>
  </w:style>
  <w:style w:type="table" w:styleId="SombreamentoColorido-nfase3">
    <w:name w:val="Colorful Shading Accent 3"/>
    <w:basedOn w:val="Tabelanormal"/>
    <w:uiPriority w:val="71"/>
    <w:rsid w:val="00CB0664"/>
    <w:pPr>
      <w:spacing w:after="0" w:line="240" w:lineRule="auto"/>
    </w:pPr>
    <w:rPr>
      <w:color w:val="000000" w:themeColor="text1"/>
    </w:rPr>
    <w:tblPr>
      <w:tblStyleRowBandSize w:val="1"/>
      <w:tblStyleColBandSize w:val="1"/>
      <w:tblBorders>
        <w:top w:val="single" w:sz="24" w:space="0" w:color="0F9ED5" w:themeColor="accent4"/>
        <w:left w:val="single" w:sz="4" w:space="0" w:color="196B24" w:themeColor="accent3"/>
        <w:bottom w:val="single" w:sz="4" w:space="0" w:color="196B24" w:themeColor="accent3"/>
        <w:right w:val="single" w:sz="4" w:space="0" w:color="196B24" w:themeColor="accent3"/>
        <w:insideH w:val="single" w:sz="4" w:space="0" w:color="FFFFFF" w:themeColor="background1"/>
        <w:insideV w:val="single" w:sz="4" w:space="0" w:color="FFFFFF" w:themeColor="background1"/>
      </w:tblBorders>
    </w:tblPr>
    <w:tcPr>
      <w:shd w:val="clear" w:color="auto" w:fill="E0F8E3" w:themeFill="accent3" w:themeFillTint="19"/>
    </w:tcPr>
    <w:tblStylePr w:type="firstRow">
      <w:rPr>
        <w:b/>
        <w:bCs/>
      </w:rPr>
      <w:tblPr/>
      <w:tcPr>
        <w:tcBorders>
          <w:top w:val="nil"/>
          <w:left w:val="nil"/>
          <w:bottom w:val="single" w:sz="24" w:space="0" w:color="0F9ED5"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F4015" w:themeFill="accent3" w:themeFillShade="99"/>
      </w:tcPr>
    </w:tblStylePr>
    <w:tblStylePr w:type="firstCol">
      <w:rPr>
        <w:color w:val="FFFFFF" w:themeColor="background1"/>
      </w:rPr>
      <w:tblPr/>
      <w:tcPr>
        <w:tcBorders>
          <w:top w:val="nil"/>
          <w:left w:val="nil"/>
          <w:bottom w:val="nil"/>
          <w:right w:val="nil"/>
          <w:insideH w:val="single" w:sz="4" w:space="0" w:color="0F4015" w:themeColor="accent3" w:themeShade="99"/>
          <w:insideV w:val="nil"/>
        </w:tcBorders>
        <w:shd w:val="clear" w:color="auto" w:fill="0F4015"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F4015" w:themeFill="accent3" w:themeFillShade="99"/>
      </w:tcPr>
    </w:tblStylePr>
    <w:tblStylePr w:type="band1Vert">
      <w:tblPr/>
      <w:tcPr>
        <w:shd w:val="clear" w:color="auto" w:fill="84E290" w:themeFill="accent3" w:themeFillTint="66"/>
      </w:tcPr>
    </w:tblStylePr>
    <w:tblStylePr w:type="band1Horz">
      <w:tblPr/>
      <w:tcPr>
        <w:shd w:val="clear" w:color="auto" w:fill="66DB75" w:themeFill="accent3" w:themeFillTint="7F"/>
      </w:tcPr>
    </w:tblStylePr>
  </w:style>
  <w:style w:type="table" w:styleId="SombreamentoColorido-nfase4">
    <w:name w:val="Colorful Shading Accent 4"/>
    <w:basedOn w:val="Tabelanormal"/>
    <w:uiPriority w:val="71"/>
    <w:rsid w:val="00CB0664"/>
    <w:pPr>
      <w:spacing w:after="0" w:line="240" w:lineRule="auto"/>
    </w:pPr>
    <w:rPr>
      <w:color w:val="000000" w:themeColor="text1"/>
    </w:rPr>
    <w:tblPr>
      <w:tblStyleRowBandSize w:val="1"/>
      <w:tblStyleColBandSize w:val="1"/>
      <w:tblBorders>
        <w:top w:val="single" w:sz="24" w:space="0" w:color="196B24" w:themeColor="accent3"/>
        <w:left w:val="single" w:sz="4" w:space="0" w:color="0F9ED5" w:themeColor="accent4"/>
        <w:bottom w:val="single" w:sz="4" w:space="0" w:color="0F9ED5" w:themeColor="accent4"/>
        <w:right w:val="single" w:sz="4" w:space="0" w:color="0F9ED5" w:themeColor="accent4"/>
        <w:insideH w:val="single" w:sz="4" w:space="0" w:color="FFFFFF" w:themeColor="background1"/>
        <w:insideV w:val="single" w:sz="4" w:space="0" w:color="FFFFFF" w:themeColor="background1"/>
      </w:tblBorders>
    </w:tblPr>
    <w:tcPr>
      <w:shd w:val="clear" w:color="auto" w:fill="E5F6FD" w:themeFill="accent4" w:themeFillTint="19"/>
    </w:tcPr>
    <w:tblStylePr w:type="firstRow">
      <w:rPr>
        <w:b/>
        <w:bCs/>
      </w:rPr>
      <w:tblPr/>
      <w:tcPr>
        <w:tcBorders>
          <w:top w:val="nil"/>
          <w:left w:val="nil"/>
          <w:bottom w:val="single" w:sz="24" w:space="0" w:color="196B24"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95E7F" w:themeFill="accent4" w:themeFillShade="99"/>
      </w:tcPr>
    </w:tblStylePr>
    <w:tblStylePr w:type="firstCol">
      <w:rPr>
        <w:color w:val="FFFFFF" w:themeColor="background1"/>
      </w:rPr>
      <w:tblPr/>
      <w:tcPr>
        <w:tcBorders>
          <w:top w:val="nil"/>
          <w:left w:val="nil"/>
          <w:bottom w:val="nil"/>
          <w:right w:val="nil"/>
          <w:insideH w:val="single" w:sz="4" w:space="0" w:color="095E7F" w:themeColor="accent4" w:themeShade="99"/>
          <w:insideV w:val="nil"/>
        </w:tcBorders>
        <w:shd w:val="clear" w:color="auto" w:fill="095E7F"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95E7F" w:themeFill="accent4" w:themeFillShade="99"/>
      </w:tcPr>
    </w:tblStylePr>
    <w:tblStylePr w:type="band1Vert">
      <w:tblPr/>
      <w:tcPr>
        <w:shd w:val="clear" w:color="auto" w:fill="95DCF7" w:themeFill="accent4" w:themeFillTint="66"/>
      </w:tcPr>
    </w:tblStylePr>
    <w:tblStylePr w:type="band1Horz">
      <w:tblPr/>
      <w:tcPr>
        <w:shd w:val="clear" w:color="auto" w:fill="7BD3F5" w:themeFill="accent4" w:themeFillTint="7F"/>
      </w:tcPr>
    </w:tblStylePr>
    <w:tblStylePr w:type="neCell">
      <w:rPr>
        <w:color w:val="000000" w:themeColor="text1"/>
      </w:rPr>
    </w:tblStylePr>
    <w:tblStylePr w:type="nwCell">
      <w:rPr>
        <w:color w:val="000000" w:themeColor="text1"/>
      </w:rPr>
    </w:tblStylePr>
  </w:style>
  <w:style w:type="table" w:styleId="SombreamentoColorido-nfase5">
    <w:name w:val="Colorful Shading Accent 5"/>
    <w:basedOn w:val="Tabelanormal"/>
    <w:uiPriority w:val="71"/>
    <w:rsid w:val="00CB0664"/>
    <w:pPr>
      <w:spacing w:after="0" w:line="240" w:lineRule="auto"/>
    </w:pPr>
    <w:rPr>
      <w:color w:val="000000" w:themeColor="text1"/>
    </w:rPr>
    <w:tblPr>
      <w:tblStyleRowBandSize w:val="1"/>
      <w:tblStyleColBandSize w:val="1"/>
      <w:tblBorders>
        <w:top w:val="single" w:sz="24" w:space="0" w:color="4EA72E" w:themeColor="accent6"/>
        <w:left w:val="single" w:sz="4" w:space="0" w:color="A02B93" w:themeColor="accent5"/>
        <w:bottom w:val="single" w:sz="4" w:space="0" w:color="A02B93" w:themeColor="accent5"/>
        <w:right w:val="single" w:sz="4" w:space="0" w:color="A02B93" w:themeColor="accent5"/>
        <w:insideH w:val="single" w:sz="4" w:space="0" w:color="FFFFFF" w:themeColor="background1"/>
        <w:insideV w:val="single" w:sz="4" w:space="0" w:color="FFFFFF" w:themeColor="background1"/>
      </w:tblBorders>
    </w:tblPr>
    <w:tcPr>
      <w:shd w:val="clear" w:color="auto" w:fill="F8E7F6" w:themeFill="accent5" w:themeFillTint="19"/>
    </w:tcPr>
    <w:tblStylePr w:type="firstRow">
      <w:rPr>
        <w:b/>
        <w:bCs/>
      </w:rPr>
      <w:tblPr/>
      <w:tcPr>
        <w:tcBorders>
          <w:top w:val="nil"/>
          <w:left w:val="nil"/>
          <w:bottom w:val="single" w:sz="24" w:space="0" w:color="4EA72E"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1957" w:themeFill="accent5" w:themeFillShade="99"/>
      </w:tcPr>
    </w:tblStylePr>
    <w:tblStylePr w:type="firstCol">
      <w:rPr>
        <w:color w:val="FFFFFF" w:themeColor="background1"/>
      </w:rPr>
      <w:tblPr/>
      <w:tcPr>
        <w:tcBorders>
          <w:top w:val="nil"/>
          <w:left w:val="nil"/>
          <w:bottom w:val="nil"/>
          <w:right w:val="nil"/>
          <w:insideH w:val="single" w:sz="4" w:space="0" w:color="5F1957" w:themeColor="accent5" w:themeShade="99"/>
          <w:insideV w:val="nil"/>
        </w:tcBorders>
        <w:shd w:val="clear" w:color="auto" w:fill="5F195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1957" w:themeFill="accent5" w:themeFillShade="99"/>
      </w:tcPr>
    </w:tblStylePr>
    <w:tblStylePr w:type="band1Vert">
      <w:tblPr/>
      <w:tcPr>
        <w:shd w:val="clear" w:color="auto" w:fill="E59EDC" w:themeFill="accent5" w:themeFillTint="66"/>
      </w:tcPr>
    </w:tblStylePr>
    <w:tblStylePr w:type="band1Horz">
      <w:tblPr/>
      <w:tcPr>
        <w:shd w:val="clear" w:color="auto" w:fill="DE86D4" w:themeFill="accent5" w:themeFillTint="7F"/>
      </w:tcPr>
    </w:tblStylePr>
    <w:tblStylePr w:type="neCell">
      <w:rPr>
        <w:color w:val="000000" w:themeColor="text1"/>
      </w:rPr>
    </w:tblStylePr>
    <w:tblStylePr w:type="nwCell">
      <w:rPr>
        <w:color w:val="000000" w:themeColor="text1"/>
      </w:rPr>
    </w:tblStylePr>
  </w:style>
  <w:style w:type="table" w:styleId="SombreamentoColorido-nfase6">
    <w:name w:val="Colorful Shading Accent 6"/>
    <w:basedOn w:val="Tabelanormal"/>
    <w:uiPriority w:val="71"/>
    <w:rsid w:val="00CB0664"/>
    <w:pPr>
      <w:spacing w:after="0" w:line="240" w:lineRule="auto"/>
    </w:pPr>
    <w:rPr>
      <w:color w:val="000000" w:themeColor="text1"/>
    </w:rPr>
    <w:tblPr>
      <w:tblStyleRowBandSize w:val="1"/>
      <w:tblStyleColBandSize w:val="1"/>
      <w:tblBorders>
        <w:top w:val="single" w:sz="24" w:space="0" w:color="A02B93" w:themeColor="accent5"/>
        <w:left w:val="single" w:sz="4" w:space="0" w:color="4EA72E" w:themeColor="accent6"/>
        <w:bottom w:val="single" w:sz="4" w:space="0" w:color="4EA72E" w:themeColor="accent6"/>
        <w:right w:val="single" w:sz="4" w:space="0" w:color="4EA72E" w:themeColor="accent6"/>
        <w:insideH w:val="single" w:sz="4" w:space="0" w:color="FFFFFF" w:themeColor="background1"/>
        <w:insideV w:val="single" w:sz="4" w:space="0" w:color="FFFFFF" w:themeColor="background1"/>
      </w:tblBorders>
    </w:tblPr>
    <w:tcPr>
      <w:shd w:val="clear" w:color="auto" w:fill="ECF8E8" w:themeFill="accent6" w:themeFillTint="19"/>
    </w:tcPr>
    <w:tblStylePr w:type="firstRow">
      <w:rPr>
        <w:b/>
        <w:bCs/>
      </w:rPr>
      <w:tblPr/>
      <w:tcPr>
        <w:tcBorders>
          <w:top w:val="nil"/>
          <w:left w:val="nil"/>
          <w:bottom w:val="single" w:sz="24" w:space="0" w:color="A02B93"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E641B" w:themeFill="accent6" w:themeFillShade="99"/>
      </w:tcPr>
    </w:tblStylePr>
    <w:tblStylePr w:type="firstCol">
      <w:rPr>
        <w:color w:val="FFFFFF" w:themeColor="background1"/>
      </w:rPr>
      <w:tblPr/>
      <w:tcPr>
        <w:tcBorders>
          <w:top w:val="nil"/>
          <w:left w:val="nil"/>
          <w:bottom w:val="nil"/>
          <w:right w:val="nil"/>
          <w:insideH w:val="single" w:sz="4" w:space="0" w:color="2E641B" w:themeColor="accent6" w:themeShade="99"/>
          <w:insideV w:val="nil"/>
        </w:tcBorders>
        <w:shd w:val="clear" w:color="auto" w:fill="2E641B"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2E641B" w:themeFill="accent6" w:themeFillShade="99"/>
      </w:tcPr>
    </w:tblStylePr>
    <w:tblStylePr w:type="band1Vert">
      <w:tblPr/>
      <w:tcPr>
        <w:shd w:val="clear" w:color="auto" w:fill="B3E5A1" w:themeFill="accent6" w:themeFillTint="66"/>
      </w:tcPr>
    </w:tblStylePr>
    <w:tblStylePr w:type="band1Horz">
      <w:tblPr/>
      <w:tcPr>
        <w:shd w:val="clear" w:color="auto" w:fill="A0DF8A" w:themeFill="accent6" w:themeFillTint="7F"/>
      </w:tcPr>
    </w:tblStylePr>
    <w:tblStylePr w:type="neCell">
      <w:rPr>
        <w:color w:val="000000" w:themeColor="text1"/>
      </w:rPr>
    </w:tblStylePr>
    <w:tblStylePr w:type="nwCell">
      <w:rPr>
        <w:color w:val="000000" w:themeColor="text1"/>
      </w:rPr>
    </w:tblStylePr>
  </w:style>
  <w:style w:type="table" w:styleId="ListaColorida">
    <w:name w:val="Colorful List"/>
    <w:basedOn w:val="Tabe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Colorida-nfase1">
    <w:name w:val="Colorful List Accent 1"/>
    <w:basedOn w:val="Tabelanormal"/>
    <w:uiPriority w:val="72"/>
    <w:rsid w:val="00CB0664"/>
    <w:pPr>
      <w:spacing w:after="0" w:line="240" w:lineRule="auto"/>
    </w:pPr>
    <w:rPr>
      <w:color w:val="000000" w:themeColor="text1"/>
    </w:rPr>
    <w:tblPr>
      <w:tblStyleRowBandSize w:val="1"/>
      <w:tblStyleColBandSize w:val="1"/>
    </w:tblPr>
    <w:tcPr>
      <w:shd w:val="clear" w:color="auto" w:fill="E0F2FA" w:themeFill="accen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table" w:styleId="ListaColorida-nfase2">
    <w:name w:val="Colorful List Accent 2"/>
    <w:basedOn w:val="Tabelanormal"/>
    <w:uiPriority w:val="72"/>
    <w:rsid w:val="00CB0664"/>
    <w:pPr>
      <w:spacing w:after="0" w:line="240" w:lineRule="auto"/>
    </w:pPr>
    <w:rPr>
      <w:color w:val="000000" w:themeColor="text1"/>
    </w:rPr>
    <w:tblPr>
      <w:tblStyleRowBandSize w:val="1"/>
      <w:tblStyleColBandSize w:val="1"/>
    </w:tblPr>
    <w:tcPr>
      <w:shd w:val="clear" w:color="auto" w:fill="FCF0EA" w:themeFill="accent2"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9DBCC" w:themeFill="accent2" w:themeFillTint="3F"/>
      </w:tcPr>
    </w:tblStylePr>
    <w:tblStylePr w:type="band1Horz">
      <w:tblPr/>
      <w:tcPr>
        <w:shd w:val="clear" w:color="auto" w:fill="FAE2D5" w:themeFill="accent2" w:themeFillTint="33"/>
      </w:tcPr>
    </w:tblStylePr>
  </w:style>
  <w:style w:type="table" w:styleId="ListaColorida-nfase3">
    <w:name w:val="Colorful List Accent 3"/>
    <w:basedOn w:val="Tabelanormal"/>
    <w:uiPriority w:val="72"/>
    <w:rsid w:val="00CB0664"/>
    <w:pPr>
      <w:spacing w:after="0" w:line="240" w:lineRule="auto"/>
    </w:pPr>
    <w:rPr>
      <w:color w:val="000000" w:themeColor="text1"/>
    </w:rPr>
    <w:tblPr>
      <w:tblStyleRowBandSize w:val="1"/>
      <w:tblStyleColBandSize w:val="1"/>
    </w:tblPr>
    <w:tcPr>
      <w:shd w:val="clear" w:color="auto" w:fill="E0F8E3" w:themeFill="accent3" w:themeFillTint="19"/>
    </w:tcPr>
    <w:tblStylePr w:type="firstRow">
      <w:rPr>
        <w:b/>
        <w:bCs/>
        <w:color w:val="FFFFFF" w:themeColor="background1"/>
      </w:rPr>
      <w:tblPr/>
      <w:tcPr>
        <w:tcBorders>
          <w:bottom w:val="single" w:sz="12" w:space="0" w:color="FFFFFF" w:themeColor="background1"/>
        </w:tcBorders>
        <w:shd w:val="clear" w:color="auto" w:fill="0C7EAA" w:themeFill="accent4" w:themeFillShade="CC"/>
      </w:tcPr>
    </w:tblStylePr>
    <w:tblStylePr w:type="lastRow">
      <w:rPr>
        <w:b/>
        <w:bCs/>
        <w:color w:val="0C7EAA"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3EDBA" w:themeFill="accent3" w:themeFillTint="3F"/>
      </w:tcPr>
    </w:tblStylePr>
    <w:tblStylePr w:type="band1Horz">
      <w:tblPr/>
      <w:tcPr>
        <w:shd w:val="clear" w:color="auto" w:fill="C1F0C7" w:themeFill="accent3" w:themeFillTint="33"/>
      </w:tcPr>
    </w:tblStylePr>
  </w:style>
  <w:style w:type="table" w:styleId="ListaColorida-nfase4">
    <w:name w:val="Colorful List Accent 4"/>
    <w:basedOn w:val="Tabelanormal"/>
    <w:uiPriority w:val="72"/>
    <w:rsid w:val="00CB0664"/>
    <w:pPr>
      <w:spacing w:after="0" w:line="240" w:lineRule="auto"/>
    </w:pPr>
    <w:rPr>
      <w:color w:val="000000" w:themeColor="text1"/>
    </w:rPr>
    <w:tblPr>
      <w:tblStyleRowBandSize w:val="1"/>
      <w:tblStyleColBandSize w:val="1"/>
    </w:tblPr>
    <w:tcPr>
      <w:shd w:val="clear" w:color="auto" w:fill="E5F6FD" w:themeFill="accent4" w:themeFillTint="19"/>
    </w:tcPr>
    <w:tblStylePr w:type="firstRow">
      <w:rPr>
        <w:b/>
        <w:bCs/>
        <w:color w:val="FFFFFF" w:themeColor="background1"/>
      </w:rPr>
      <w:tblPr/>
      <w:tcPr>
        <w:tcBorders>
          <w:bottom w:val="single" w:sz="12" w:space="0" w:color="FFFFFF" w:themeColor="background1"/>
        </w:tcBorders>
        <w:shd w:val="clear" w:color="auto" w:fill="14551C" w:themeFill="accent3" w:themeFillShade="CC"/>
      </w:tcPr>
    </w:tblStylePr>
    <w:tblStylePr w:type="lastRow">
      <w:rPr>
        <w:b/>
        <w:bCs/>
        <w:color w:val="14551C"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DE9FA" w:themeFill="accent4" w:themeFillTint="3F"/>
      </w:tcPr>
    </w:tblStylePr>
    <w:tblStylePr w:type="band1Horz">
      <w:tblPr/>
      <w:tcPr>
        <w:shd w:val="clear" w:color="auto" w:fill="CAEDFB" w:themeFill="accent4" w:themeFillTint="33"/>
      </w:tcPr>
    </w:tblStylePr>
  </w:style>
  <w:style w:type="table" w:styleId="ListaColorida-nfase5">
    <w:name w:val="Colorful List Accent 5"/>
    <w:basedOn w:val="Tabelanormal"/>
    <w:uiPriority w:val="72"/>
    <w:rsid w:val="00CB0664"/>
    <w:pPr>
      <w:spacing w:after="0" w:line="240" w:lineRule="auto"/>
    </w:pPr>
    <w:rPr>
      <w:color w:val="000000" w:themeColor="text1"/>
    </w:rPr>
    <w:tblPr>
      <w:tblStyleRowBandSize w:val="1"/>
      <w:tblStyleColBandSize w:val="1"/>
    </w:tblPr>
    <w:tcPr>
      <w:shd w:val="clear" w:color="auto" w:fill="F8E7F6" w:themeFill="accent5" w:themeFillTint="19"/>
    </w:tcPr>
    <w:tblStylePr w:type="firstRow">
      <w:rPr>
        <w:b/>
        <w:bCs/>
        <w:color w:val="FFFFFF" w:themeColor="background1"/>
      </w:rPr>
      <w:tblPr/>
      <w:tcPr>
        <w:tcBorders>
          <w:bottom w:val="single" w:sz="12" w:space="0" w:color="FFFFFF" w:themeColor="background1"/>
        </w:tcBorders>
        <w:shd w:val="clear" w:color="auto" w:fill="3E8524" w:themeFill="accent6" w:themeFillShade="CC"/>
      </w:tcPr>
    </w:tblStylePr>
    <w:tblStylePr w:type="lastRow">
      <w:rPr>
        <w:b/>
        <w:bCs/>
        <w:color w:val="3E8524"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C3E9" w:themeFill="accent5" w:themeFillTint="3F"/>
      </w:tcPr>
    </w:tblStylePr>
    <w:tblStylePr w:type="band1Horz">
      <w:tblPr/>
      <w:tcPr>
        <w:shd w:val="clear" w:color="auto" w:fill="F2CEED" w:themeFill="accent5" w:themeFillTint="33"/>
      </w:tcPr>
    </w:tblStylePr>
  </w:style>
  <w:style w:type="table" w:styleId="ListaColorida-nfase6">
    <w:name w:val="Colorful List Accent 6"/>
    <w:basedOn w:val="Tabelanormal"/>
    <w:uiPriority w:val="72"/>
    <w:rsid w:val="00CB0664"/>
    <w:pPr>
      <w:spacing w:after="0" w:line="240" w:lineRule="auto"/>
    </w:pPr>
    <w:rPr>
      <w:color w:val="000000" w:themeColor="text1"/>
    </w:rPr>
    <w:tblPr>
      <w:tblStyleRowBandSize w:val="1"/>
      <w:tblStyleColBandSize w:val="1"/>
    </w:tblPr>
    <w:tcPr>
      <w:shd w:val="clear" w:color="auto" w:fill="ECF8E8" w:themeFill="accent6" w:themeFillTint="19"/>
    </w:tcPr>
    <w:tblStylePr w:type="firstRow">
      <w:rPr>
        <w:b/>
        <w:bCs/>
        <w:color w:val="FFFFFF" w:themeColor="background1"/>
      </w:rPr>
      <w:tblPr/>
      <w:tcPr>
        <w:tcBorders>
          <w:bottom w:val="single" w:sz="12" w:space="0" w:color="FFFFFF" w:themeColor="background1"/>
        </w:tcBorders>
        <w:shd w:val="clear" w:color="auto" w:fill="7F2275" w:themeFill="accent5" w:themeFillShade="CC"/>
      </w:tcPr>
    </w:tblStylePr>
    <w:tblStylePr w:type="lastRow">
      <w:rPr>
        <w:b/>
        <w:bCs/>
        <w:color w:val="7F227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EFC5" w:themeFill="accent6" w:themeFillTint="3F"/>
      </w:tcPr>
    </w:tblStylePr>
    <w:tblStylePr w:type="band1Horz">
      <w:tblPr/>
      <w:tcPr>
        <w:shd w:val="clear" w:color="auto" w:fill="D9F2D0" w:themeFill="accent6" w:themeFillTint="33"/>
      </w:tcPr>
    </w:tblStylePr>
  </w:style>
  <w:style w:type="table" w:styleId="GradeColorida">
    <w:name w:val="Colorful Grid"/>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adeColorida-nfase1">
    <w:name w:val="Colorful Grid Accent 1"/>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1E4F5" w:themeFill="accent1" w:themeFillTint="33"/>
    </w:tcPr>
    <w:tblStylePr w:type="firstRow">
      <w:rPr>
        <w:b/>
        <w:bCs/>
      </w:rPr>
      <w:tblPr/>
      <w:tcPr>
        <w:shd w:val="clear" w:color="auto" w:fill="83CAEB" w:themeFill="accent1" w:themeFillTint="66"/>
      </w:tcPr>
    </w:tblStylePr>
    <w:tblStylePr w:type="lastRow">
      <w:rPr>
        <w:b/>
        <w:bCs/>
        <w:color w:val="000000" w:themeColor="text1"/>
      </w:rPr>
      <w:tblPr/>
      <w:tcPr>
        <w:shd w:val="clear" w:color="auto" w:fill="83CAEB" w:themeFill="accent1" w:themeFillTint="66"/>
      </w:tcPr>
    </w:tblStylePr>
    <w:tblStylePr w:type="firstCol">
      <w:rPr>
        <w:color w:val="FFFFFF" w:themeColor="background1"/>
      </w:rPr>
      <w:tblPr/>
      <w:tcPr>
        <w:shd w:val="clear" w:color="auto" w:fill="0F4761" w:themeFill="accent1" w:themeFillShade="BF"/>
      </w:tcPr>
    </w:tblStylePr>
    <w:tblStylePr w:type="lastCol">
      <w:rPr>
        <w:color w:val="FFFFFF" w:themeColor="background1"/>
      </w:rPr>
      <w:tblPr/>
      <w:tcPr>
        <w:shd w:val="clear" w:color="auto" w:fill="0F4761" w:themeFill="accent1" w:themeFillShade="BF"/>
      </w:tcPr>
    </w:tblStylePr>
    <w:tblStylePr w:type="band1Vert">
      <w:tblPr/>
      <w:tcPr>
        <w:shd w:val="clear" w:color="auto" w:fill="64BDE6" w:themeFill="accent1" w:themeFillTint="7F"/>
      </w:tcPr>
    </w:tblStylePr>
    <w:tblStylePr w:type="band1Horz">
      <w:tblPr/>
      <w:tcPr>
        <w:shd w:val="clear" w:color="auto" w:fill="64BDE6" w:themeFill="accent1" w:themeFillTint="7F"/>
      </w:tcPr>
    </w:tblStylePr>
  </w:style>
  <w:style w:type="table" w:styleId="GradeColorida-nfase2">
    <w:name w:val="Colorful Grid Accent 2"/>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AE2D5" w:themeFill="accent2" w:themeFillTint="33"/>
    </w:tcPr>
    <w:tblStylePr w:type="firstRow">
      <w:rPr>
        <w:b/>
        <w:bCs/>
      </w:rPr>
      <w:tblPr/>
      <w:tcPr>
        <w:shd w:val="clear" w:color="auto" w:fill="F6C5AC" w:themeFill="accent2" w:themeFillTint="66"/>
      </w:tcPr>
    </w:tblStylePr>
    <w:tblStylePr w:type="lastRow">
      <w:rPr>
        <w:b/>
        <w:bCs/>
        <w:color w:val="000000" w:themeColor="text1"/>
      </w:rPr>
      <w:tblPr/>
      <w:tcPr>
        <w:shd w:val="clear" w:color="auto" w:fill="F6C5AC" w:themeFill="accent2" w:themeFillTint="66"/>
      </w:tcPr>
    </w:tblStylePr>
    <w:tblStylePr w:type="firstCol">
      <w:rPr>
        <w:color w:val="FFFFFF" w:themeColor="background1"/>
      </w:rPr>
      <w:tblPr/>
      <w:tcPr>
        <w:shd w:val="clear" w:color="auto" w:fill="BF4E14" w:themeFill="accent2" w:themeFillShade="BF"/>
      </w:tcPr>
    </w:tblStylePr>
    <w:tblStylePr w:type="lastCol">
      <w:rPr>
        <w:color w:val="FFFFFF" w:themeColor="background1"/>
      </w:rPr>
      <w:tblPr/>
      <w:tcPr>
        <w:shd w:val="clear" w:color="auto" w:fill="BF4E14" w:themeFill="accent2" w:themeFillShade="BF"/>
      </w:tc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GradeColorida-nfase3">
    <w:name w:val="Colorful Grid Accent 3"/>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1F0C7" w:themeFill="accent3" w:themeFillTint="33"/>
    </w:tcPr>
    <w:tblStylePr w:type="firstRow">
      <w:rPr>
        <w:b/>
        <w:bCs/>
      </w:rPr>
      <w:tblPr/>
      <w:tcPr>
        <w:shd w:val="clear" w:color="auto" w:fill="84E290" w:themeFill="accent3" w:themeFillTint="66"/>
      </w:tcPr>
    </w:tblStylePr>
    <w:tblStylePr w:type="lastRow">
      <w:rPr>
        <w:b/>
        <w:bCs/>
        <w:color w:val="000000" w:themeColor="text1"/>
      </w:rPr>
      <w:tblPr/>
      <w:tcPr>
        <w:shd w:val="clear" w:color="auto" w:fill="84E290" w:themeFill="accent3" w:themeFillTint="66"/>
      </w:tcPr>
    </w:tblStylePr>
    <w:tblStylePr w:type="firstCol">
      <w:rPr>
        <w:color w:val="FFFFFF" w:themeColor="background1"/>
      </w:rPr>
      <w:tblPr/>
      <w:tcPr>
        <w:shd w:val="clear" w:color="auto" w:fill="124F1A" w:themeFill="accent3" w:themeFillShade="BF"/>
      </w:tcPr>
    </w:tblStylePr>
    <w:tblStylePr w:type="lastCol">
      <w:rPr>
        <w:color w:val="FFFFFF" w:themeColor="background1"/>
      </w:rPr>
      <w:tblPr/>
      <w:tcPr>
        <w:shd w:val="clear" w:color="auto" w:fill="124F1A" w:themeFill="accent3" w:themeFillShade="BF"/>
      </w:tc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table" w:styleId="GradeColorida-nfase4">
    <w:name w:val="Colorful Grid Accent 4"/>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AEDFB" w:themeFill="accent4" w:themeFillTint="33"/>
    </w:tcPr>
    <w:tblStylePr w:type="firstRow">
      <w:rPr>
        <w:b/>
        <w:bCs/>
      </w:rPr>
      <w:tblPr/>
      <w:tcPr>
        <w:shd w:val="clear" w:color="auto" w:fill="95DCF7" w:themeFill="accent4" w:themeFillTint="66"/>
      </w:tcPr>
    </w:tblStylePr>
    <w:tblStylePr w:type="lastRow">
      <w:rPr>
        <w:b/>
        <w:bCs/>
        <w:color w:val="000000" w:themeColor="text1"/>
      </w:rPr>
      <w:tblPr/>
      <w:tcPr>
        <w:shd w:val="clear" w:color="auto" w:fill="95DCF7" w:themeFill="accent4" w:themeFillTint="66"/>
      </w:tcPr>
    </w:tblStylePr>
    <w:tblStylePr w:type="firstCol">
      <w:rPr>
        <w:color w:val="FFFFFF" w:themeColor="background1"/>
      </w:rPr>
      <w:tblPr/>
      <w:tcPr>
        <w:shd w:val="clear" w:color="auto" w:fill="0B769F" w:themeFill="accent4" w:themeFillShade="BF"/>
      </w:tcPr>
    </w:tblStylePr>
    <w:tblStylePr w:type="lastCol">
      <w:rPr>
        <w:color w:val="FFFFFF" w:themeColor="background1"/>
      </w:rPr>
      <w:tblPr/>
      <w:tcPr>
        <w:shd w:val="clear" w:color="auto" w:fill="0B769F" w:themeFill="accent4" w:themeFillShade="BF"/>
      </w:tcPr>
    </w:tblStylePr>
    <w:tblStylePr w:type="band1Vert">
      <w:tblPr/>
      <w:tcPr>
        <w:shd w:val="clear" w:color="auto" w:fill="7BD3F5" w:themeFill="accent4" w:themeFillTint="7F"/>
      </w:tcPr>
    </w:tblStylePr>
    <w:tblStylePr w:type="band1Horz">
      <w:tblPr/>
      <w:tcPr>
        <w:shd w:val="clear" w:color="auto" w:fill="7BD3F5" w:themeFill="accent4" w:themeFillTint="7F"/>
      </w:tcPr>
    </w:tblStylePr>
  </w:style>
  <w:style w:type="table" w:styleId="GradeColorida-nfase5">
    <w:name w:val="Colorful Grid Accent 5"/>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CEED" w:themeFill="accent5" w:themeFillTint="33"/>
    </w:tcPr>
    <w:tblStylePr w:type="firstRow">
      <w:rPr>
        <w:b/>
        <w:bCs/>
      </w:rPr>
      <w:tblPr/>
      <w:tcPr>
        <w:shd w:val="clear" w:color="auto" w:fill="E59EDC" w:themeFill="accent5" w:themeFillTint="66"/>
      </w:tcPr>
    </w:tblStylePr>
    <w:tblStylePr w:type="lastRow">
      <w:rPr>
        <w:b/>
        <w:bCs/>
        <w:color w:val="000000" w:themeColor="text1"/>
      </w:rPr>
      <w:tblPr/>
      <w:tcPr>
        <w:shd w:val="clear" w:color="auto" w:fill="E59EDC" w:themeFill="accent5" w:themeFillTint="66"/>
      </w:tcPr>
    </w:tblStylePr>
    <w:tblStylePr w:type="firstCol">
      <w:rPr>
        <w:color w:val="FFFFFF" w:themeColor="background1"/>
      </w:rPr>
      <w:tblPr/>
      <w:tcPr>
        <w:shd w:val="clear" w:color="auto" w:fill="77206D" w:themeFill="accent5" w:themeFillShade="BF"/>
      </w:tcPr>
    </w:tblStylePr>
    <w:tblStylePr w:type="lastCol">
      <w:rPr>
        <w:color w:val="FFFFFF" w:themeColor="background1"/>
      </w:rPr>
      <w:tblPr/>
      <w:tcPr>
        <w:shd w:val="clear" w:color="auto" w:fill="77206D" w:themeFill="accent5" w:themeFillShade="BF"/>
      </w:tcPr>
    </w:tblStylePr>
    <w:tblStylePr w:type="band1Vert">
      <w:tblPr/>
      <w:tcPr>
        <w:shd w:val="clear" w:color="auto" w:fill="DE86D4" w:themeFill="accent5" w:themeFillTint="7F"/>
      </w:tcPr>
    </w:tblStylePr>
    <w:tblStylePr w:type="band1Horz">
      <w:tblPr/>
      <w:tcPr>
        <w:shd w:val="clear" w:color="auto" w:fill="DE86D4" w:themeFill="accent5" w:themeFillTint="7F"/>
      </w:tcPr>
    </w:tblStylePr>
  </w:style>
  <w:style w:type="table" w:styleId="GradeColorida-nfase6">
    <w:name w:val="Colorful Grid Accent 6"/>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9F2D0" w:themeFill="accent6" w:themeFillTint="33"/>
    </w:tcPr>
    <w:tblStylePr w:type="firstRow">
      <w:rPr>
        <w:b/>
        <w:bCs/>
      </w:rPr>
      <w:tblPr/>
      <w:tcPr>
        <w:shd w:val="clear" w:color="auto" w:fill="B3E5A1" w:themeFill="accent6" w:themeFillTint="66"/>
      </w:tcPr>
    </w:tblStylePr>
    <w:tblStylePr w:type="lastRow">
      <w:rPr>
        <w:b/>
        <w:bCs/>
        <w:color w:val="000000" w:themeColor="text1"/>
      </w:rPr>
      <w:tblPr/>
      <w:tcPr>
        <w:shd w:val="clear" w:color="auto" w:fill="B3E5A1" w:themeFill="accent6" w:themeFillTint="66"/>
      </w:tcPr>
    </w:tblStylePr>
    <w:tblStylePr w:type="firstCol">
      <w:rPr>
        <w:color w:val="FFFFFF" w:themeColor="background1"/>
      </w:rPr>
      <w:tblPr/>
      <w:tcPr>
        <w:shd w:val="clear" w:color="auto" w:fill="3A7C22" w:themeFill="accent6" w:themeFillShade="BF"/>
      </w:tcPr>
    </w:tblStylePr>
    <w:tblStylePr w:type="lastCol">
      <w:rPr>
        <w:color w:val="FFFFFF" w:themeColor="background1"/>
      </w:rPr>
      <w:tblPr/>
      <w:tcPr>
        <w:shd w:val="clear" w:color="auto" w:fill="3A7C22" w:themeFill="accent6" w:themeFillShade="BF"/>
      </w:tc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paragraph" w:styleId="NormalWeb">
    <w:name w:val="Normal (Web)"/>
    <w:basedOn w:val="Normal"/>
    <w:uiPriority w:val="99"/>
    <w:unhideWhenUsed/>
    <w:rsid w:val="005F3F94"/>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Hyperlink">
    <w:name w:val="Hyperlink"/>
    <w:basedOn w:val="Fontepargpadro"/>
    <w:uiPriority w:val="99"/>
    <w:unhideWhenUsed/>
    <w:rsid w:val="00B55C85"/>
    <w:rPr>
      <w:color w:val="467886" w:themeColor="hyperlink"/>
      <w:u w:val="single"/>
    </w:rPr>
  </w:style>
  <w:style w:type="character" w:customStyle="1" w:styleId="PargrafodaListaChar">
    <w:name w:val="Parágrafo da Lista Char"/>
    <w:aliases w:val="parágrafos recuados 1 (letras) Char"/>
    <w:link w:val="PargrafodaLista"/>
    <w:uiPriority w:val="34"/>
    <w:qFormat/>
    <w:locked/>
    <w:rsid w:val="00B55C85"/>
  </w:style>
  <w:style w:type="character" w:customStyle="1" w:styleId="ListLabel168">
    <w:name w:val="ListLabel 168"/>
    <w:qFormat/>
    <w:rsid w:val="00B55C85"/>
    <w:rPr>
      <w:rFonts w:ascii="Palatino Linotype" w:hAnsi="Palatino Linotype"/>
      <w:sz w:val="20"/>
    </w:rPr>
  </w:style>
  <w:style w:type="character" w:styleId="MenoPendente">
    <w:name w:val="Unresolved Mention"/>
    <w:basedOn w:val="Fontepargpadro"/>
    <w:uiPriority w:val="99"/>
    <w:semiHidden/>
    <w:unhideWhenUsed/>
    <w:rsid w:val="00DF659B"/>
    <w:rPr>
      <w:color w:val="605E5C"/>
      <w:shd w:val="clear" w:color="auto" w:fill="E1DFDD"/>
    </w:rPr>
  </w:style>
  <w:style w:type="table" w:customStyle="1" w:styleId="Tabelacomgrade1">
    <w:name w:val="Tabela com grade1"/>
    <w:basedOn w:val="Tabelanormal"/>
    <w:next w:val="Tabelacomgrade"/>
    <w:rsid w:val="006062DB"/>
    <w:pPr>
      <w:spacing w:after="0" w:line="240" w:lineRule="auto"/>
    </w:pPr>
    <w:rPr>
      <w:rFonts w:ascii="Times New Roman" w:hAnsi="Times New Roman" w:cs="Times New Roman"/>
      <w:sz w:val="20"/>
      <w:szCs w:val="20"/>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ade"/>
    <w:rsid w:val="00BD75C7"/>
    <w:pPr>
      <w:spacing w:after="0" w:line="240" w:lineRule="auto"/>
    </w:pPr>
    <w:rPr>
      <w:rFonts w:ascii="Times New Roman" w:hAnsi="Times New Roman" w:cs="Times New Roman"/>
      <w:sz w:val="20"/>
      <w:szCs w:val="20"/>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rsid w:val="006259FF"/>
    <w:pPr>
      <w:spacing w:after="0" w:line="240" w:lineRule="auto"/>
    </w:pPr>
    <w:rPr>
      <w:rFonts w:ascii="Times New Roman" w:hAnsi="Times New Roman" w:cs="Times New Roman"/>
      <w:sz w:val="20"/>
      <w:szCs w:val="20"/>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39"/>
    <w:rsid w:val="00361134"/>
    <w:pPr>
      <w:spacing w:after="0" w:line="240" w:lineRule="auto"/>
    </w:pPr>
    <w:rPr>
      <w:rFonts w:eastAsiaTheme="minorHAnsi"/>
      <w:kern w:val="2"/>
      <w:lang w:val="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hyperlink" Target="http://www.orindiuva.sp.gov.br" TargetMode="External"/><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247</TotalTime>
  <Pages>48</Pages>
  <Words>7566</Words>
  <Characters>40860</Characters>
  <Application>Microsoft Office Word</Application>
  <DocSecurity>0</DocSecurity>
  <Lines>340</Lines>
  <Paragraphs>96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48330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
  <cp:lastModifiedBy>Orindiúva</cp:lastModifiedBy>
  <cp:revision>141</cp:revision>
  <cp:lastPrinted>2026-04-06T11:14:00Z</cp:lastPrinted>
  <dcterms:created xsi:type="dcterms:W3CDTF">2026-04-09T01:37:00Z</dcterms:created>
  <dcterms:modified xsi:type="dcterms:W3CDTF">2026-07-22T13:28:00Z</dcterms:modified>
  <cp:category/>
</cp:coreProperties>
</file>